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DBEBDB" w14:textId="77777777" w:rsidR="00E41297" w:rsidRPr="00F25EDB" w:rsidRDefault="00E41297">
      <w:pPr>
        <w:jc w:val="center"/>
        <w:rPr>
          <w:rFonts w:ascii="Times New Roman" w:hAnsi="Times New Roman" w:cs="Times New Roman"/>
          <w:b/>
          <w:color w:val="0070C0"/>
          <w:sz w:val="40"/>
          <w:szCs w:val="40"/>
        </w:rPr>
      </w:pPr>
      <w:bookmarkStart w:id="0" w:name="_GoBack"/>
      <w:bookmarkEnd w:id="0"/>
    </w:p>
    <w:p w14:paraId="53F3FF15" w14:textId="77777777" w:rsidR="00725110" w:rsidRPr="00F25EDB" w:rsidRDefault="00497432" w:rsidP="00F25EDB">
      <w:pPr>
        <w:pStyle w:val="NoSpacing"/>
        <w:jc w:val="center"/>
        <w:rPr>
          <w:rFonts w:ascii="Times New Roman" w:hAnsi="Times New Roman" w:cs="Times New Roman"/>
          <w:b/>
          <w:bCs/>
          <w:color w:val="0070C0"/>
          <w:sz w:val="40"/>
          <w:szCs w:val="40"/>
        </w:rPr>
      </w:pPr>
      <w:r w:rsidRPr="00F25EDB">
        <w:rPr>
          <w:rFonts w:ascii="Times New Roman" w:hAnsi="Times New Roman" w:cs="Times New Roman"/>
          <w:b/>
          <w:bCs/>
          <w:color w:val="0070C0"/>
          <w:sz w:val="40"/>
          <w:szCs w:val="40"/>
        </w:rPr>
        <w:t>MIR 509</w:t>
      </w:r>
    </w:p>
    <w:p w14:paraId="528DB041" w14:textId="77777777" w:rsidR="00725110" w:rsidRPr="00F25EDB" w:rsidRDefault="00497432" w:rsidP="00F25EDB">
      <w:pPr>
        <w:pStyle w:val="NoSpacing"/>
        <w:jc w:val="center"/>
        <w:rPr>
          <w:rFonts w:ascii="Times New Roman" w:hAnsi="Times New Roman" w:cs="Times New Roman"/>
          <w:color w:val="0070C0"/>
          <w:sz w:val="40"/>
          <w:szCs w:val="40"/>
        </w:rPr>
      </w:pPr>
      <w:r w:rsidRPr="00F25EDB">
        <w:rPr>
          <w:rFonts w:ascii="Times New Roman" w:hAnsi="Times New Roman" w:cs="Times New Roman"/>
          <w:color w:val="0070C0"/>
          <w:sz w:val="40"/>
          <w:szCs w:val="40"/>
        </w:rPr>
        <w:t>Regional and Global Context of Turkish Foreign Policy</w:t>
      </w:r>
    </w:p>
    <w:p w14:paraId="20AF8F79" w14:textId="77777777" w:rsidR="00E41297" w:rsidRDefault="00497432" w:rsidP="00F25EDB">
      <w:pPr>
        <w:pStyle w:val="NoSpacing"/>
        <w:jc w:val="center"/>
        <w:rPr>
          <w:sz w:val="32"/>
          <w:szCs w:val="32"/>
        </w:rPr>
      </w:pPr>
      <w:r w:rsidRPr="00F25EDB">
        <w:rPr>
          <w:rFonts w:ascii="Times New Roman" w:hAnsi="Times New Roman" w:cs="Times New Roman"/>
          <w:color w:val="0070C0"/>
          <w:sz w:val="32"/>
          <w:szCs w:val="32"/>
        </w:rPr>
        <w:t>Fall 2026–2027 | Boğaziçi University</w:t>
      </w:r>
      <w:r w:rsidRPr="00F25EDB">
        <w:rPr>
          <w:i/>
          <w:sz w:val="32"/>
          <w:szCs w:val="32"/>
        </w:rPr>
        <w:br/>
      </w:r>
    </w:p>
    <w:p w14:paraId="0A1FD0FA" w14:textId="77777777" w:rsidR="00BC5C04" w:rsidRPr="00F25EDB" w:rsidRDefault="00BC5C04" w:rsidP="00F25EDB">
      <w:pPr>
        <w:pStyle w:val="NoSpacing"/>
        <w:jc w:val="center"/>
        <w:rPr>
          <w:sz w:val="32"/>
          <w:szCs w:val="32"/>
        </w:rPr>
      </w:pPr>
    </w:p>
    <w:tbl>
      <w:tblPr>
        <w:tblStyle w:val="TableGrid"/>
        <w:tblW w:w="0" w:type="auto"/>
        <w:jc w:val="center"/>
        <w:tblLook w:val="04A0" w:firstRow="1" w:lastRow="0" w:firstColumn="1" w:lastColumn="0" w:noHBand="0" w:noVBand="1"/>
      </w:tblPr>
      <w:tblGrid>
        <w:gridCol w:w="4997"/>
        <w:gridCol w:w="4997"/>
      </w:tblGrid>
      <w:tr w:rsidR="00725110" w:rsidRPr="00C6156F" w14:paraId="3CDB94E3" w14:textId="77777777">
        <w:trPr>
          <w:jc w:val="center"/>
        </w:trPr>
        <w:tc>
          <w:tcPr>
            <w:tcW w:w="4997" w:type="dxa"/>
          </w:tcPr>
          <w:p w14:paraId="01A0CD42" w14:textId="77777777" w:rsidR="00725110" w:rsidRPr="00C6156F" w:rsidRDefault="00497432">
            <w:pPr>
              <w:rPr>
                <w:rFonts w:ascii="Times New Roman" w:hAnsi="Times New Roman" w:cs="Times New Roman"/>
              </w:rPr>
            </w:pPr>
            <w:r w:rsidRPr="00C6156F">
              <w:rPr>
                <w:rFonts w:ascii="Times New Roman" w:hAnsi="Times New Roman" w:cs="Times New Roman"/>
                <w:b/>
              </w:rPr>
              <w:t>Instructor</w:t>
            </w:r>
          </w:p>
        </w:tc>
        <w:tc>
          <w:tcPr>
            <w:tcW w:w="4997" w:type="dxa"/>
          </w:tcPr>
          <w:p w14:paraId="10EF0691" w14:textId="77777777" w:rsidR="00725110" w:rsidRPr="00C6156F" w:rsidRDefault="00497432">
            <w:pPr>
              <w:rPr>
                <w:rFonts w:ascii="Times New Roman" w:hAnsi="Times New Roman" w:cs="Times New Roman"/>
              </w:rPr>
            </w:pPr>
            <w:r w:rsidRPr="00C6156F">
              <w:rPr>
                <w:rFonts w:ascii="Times New Roman" w:hAnsi="Times New Roman" w:cs="Times New Roman"/>
              </w:rPr>
              <w:t>Onur İşçi</w:t>
            </w:r>
          </w:p>
        </w:tc>
      </w:tr>
      <w:tr w:rsidR="00725110" w:rsidRPr="00C6156F" w14:paraId="7FEA4AD8" w14:textId="77777777">
        <w:trPr>
          <w:jc w:val="center"/>
        </w:trPr>
        <w:tc>
          <w:tcPr>
            <w:tcW w:w="4997" w:type="dxa"/>
          </w:tcPr>
          <w:p w14:paraId="4EEB8DE3" w14:textId="77777777" w:rsidR="00725110" w:rsidRPr="00C6156F" w:rsidRDefault="00497432">
            <w:pPr>
              <w:rPr>
                <w:rFonts w:ascii="Times New Roman" w:hAnsi="Times New Roman" w:cs="Times New Roman"/>
              </w:rPr>
            </w:pPr>
            <w:r w:rsidRPr="00C6156F">
              <w:rPr>
                <w:rFonts w:ascii="Times New Roman" w:hAnsi="Times New Roman" w:cs="Times New Roman"/>
                <w:b/>
              </w:rPr>
              <w:t>Credits</w:t>
            </w:r>
          </w:p>
        </w:tc>
        <w:tc>
          <w:tcPr>
            <w:tcW w:w="4997" w:type="dxa"/>
          </w:tcPr>
          <w:p w14:paraId="3DAF0F49" w14:textId="77777777" w:rsidR="00725110" w:rsidRPr="00C6156F" w:rsidRDefault="00497432">
            <w:pPr>
              <w:rPr>
                <w:rFonts w:ascii="Times New Roman" w:hAnsi="Times New Roman" w:cs="Times New Roman"/>
              </w:rPr>
            </w:pPr>
            <w:r w:rsidRPr="00C6156F">
              <w:rPr>
                <w:rFonts w:ascii="Times New Roman" w:hAnsi="Times New Roman" w:cs="Times New Roman"/>
              </w:rPr>
              <w:t>3 | ECTS: 8</w:t>
            </w:r>
          </w:p>
        </w:tc>
      </w:tr>
      <w:tr w:rsidR="00725110" w:rsidRPr="00C6156F" w14:paraId="0A2CB2E6" w14:textId="77777777">
        <w:trPr>
          <w:jc w:val="center"/>
        </w:trPr>
        <w:tc>
          <w:tcPr>
            <w:tcW w:w="4997" w:type="dxa"/>
          </w:tcPr>
          <w:p w14:paraId="5A462CD0" w14:textId="77777777" w:rsidR="00725110" w:rsidRPr="00C6156F" w:rsidRDefault="00497432">
            <w:pPr>
              <w:rPr>
                <w:rFonts w:ascii="Times New Roman" w:hAnsi="Times New Roman" w:cs="Times New Roman"/>
              </w:rPr>
            </w:pPr>
            <w:r w:rsidRPr="00C6156F">
              <w:rPr>
                <w:rFonts w:ascii="Times New Roman" w:hAnsi="Times New Roman" w:cs="Times New Roman"/>
                <w:b/>
              </w:rPr>
              <w:t>Class</w:t>
            </w:r>
            <w:r w:rsidR="00AB2EA4">
              <w:rPr>
                <w:rFonts w:ascii="Times New Roman" w:hAnsi="Times New Roman" w:cs="Times New Roman"/>
                <w:b/>
              </w:rPr>
              <w:t>room</w:t>
            </w:r>
          </w:p>
        </w:tc>
        <w:tc>
          <w:tcPr>
            <w:tcW w:w="4997" w:type="dxa"/>
          </w:tcPr>
          <w:p w14:paraId="51321A6D" w14:textId="77777777" w:rsidR="00725110" w:rsidRPr="00C6156F" w:rsidRDefault="00AB2EA4">
            <w:pPr>
              <w:rPr>
                <w:rFonts w:ascii="Times New Roman" w:hAnsi="Times New Roman" w:cs="Times New Roman"/>
              </w:rPr>
            </w:pPr>
            <w:r>
              <w:rPr>
                <w:rFonts w:ascii="Times New Roman" w:hAnsi="Times New Roman" w:cs="Times New Roman"/>
              </w:rPr>
              <w:t>TBA</w:t>
            </w:r>
          </w:p>
        </w:tc>
      </w:tr>
      <w:tr w:rsidR="00725110" w:rsidRPr="00C6156F" w14:paraId="36F0E208" w14:textId="77777777">
        <w:trPr>
          <w:jc w:val="center"/>
        </w:trPr>
        <w:tc>
          <w:tcPr>
            <w:tcW w:w="4997" w:type="dxa"/>
          </w:tcPr>
          <w:p w14:paraId="6FD7D939" w14:textId="77777777" w:rsidR="00725110" w:rsidRPr="00C6156F" w:rsidRDefault="00AB2EA4">
            <w:pPr>
              <w:rPr>
                <w:rFonts w:ascii="Times New Roman" w:hAnsi="Times New Roman" w:cs="Times New Roman"/>
              </w:rPr>
            </w:pPr>
            <w:r>
              <w:rPr>
                <w:rFonts w:ascii="Times New Roman" w:hAnsi="Times New Roman" w:cs="Times New Roman"/>
                <w:b/>
              </w:rPr>
              <w:t>Hours</w:t>
            </w:r>
          </w:p>
        </w:tc>
        <w:tc>
          <w:tcPr>
            <w:tcW w:w="4997" w:type="dxa"/>
          </w:tcPr>
          <w:p w14:paraId="46B55E56" w14:textId="77777777" w:rsidR="00725110" w:rsidRPr="00C6156F" w:rsidRDefault="00AB2EA4">
            <w:pPr>
              <w:rPr>
                <w:rFonts w:ascii="Times New Roman" w:hAnsi="Times New Roman" w:cs="Times New Roman"/>
              </w:rPr>
            </w:pPr>
            <w:r>
              <w:rPr>
                <w:rFonts w:ascii="Times New Roman" w:hAnsi="Times New Roman" w:cs="Times New Roman"/>
              </w:rPr>
              <w:t>Thursdays 18:30-21:30</w:t>
            </w:r>
          </w:p>
        </w:tc>
      </w:tr>
      <w:tr w:rsidR="00AB2EA4" w:rsidRPr="00C6156F" w14:paraId="126CB02D" w14:textId="77777777">
        <w:trPr>
          <w:jc w:val="center"/>
        </w:trPr>
        <w:tc>
          <w:tcPr>
            <w:tcW w:w="4997" w:type="dxa"/>
          </w:tcPr>
          <w:p w14:paraId="521C301C" w14:textId="77777777" w:rsidR="00AB2EA4" w:rsidRDefault="00AB2EA4" w:rsidP="00AB2EA4">
            <w:pPr>
              <w:rPr>
                <w:rFonts w:ascii="Times New Roman" w:hAnsi="Times New Roman" w:cs="Times New Roman"/>
                <w:b/>
              </w:rPr>
            </w:pPr>
            <w:r>
              <w:rPr>
                <w:rFonts w:ascii="Times New Roman" w:hAnsi="Times New Roman" w:cs="Times New Roman"/>
                <w:b/>
              </w:rPr>
              <w:t>Email for Office Hrs.</w:t>
            </w:r>
          </w:p>
        </w:tc>
        <w:tc>
          <w:tcPr>
            <w:tcW w:w="4997" w:type="dxa"/>
          </w:tcPr>
          <w:p w14:paraId="1E6E8EE5" w14:textId="77777777" w:rsidR="00AB2EA4" w:rsidRPr="00C6156F" w:rsidRDefault="00AB2EA4" w:rsidP="00AB2EA4">
            <w:pPr>
              <w:rPr>
                <w:rFonts w:ascii="Times New Roman" w:hAnsi="Times New Roman" w:cs="Times New Roman"/>
              </w:rPr>
            </w:pPr>
            <w:r w:rsidRPr="00C6156F">
              <w:rPr>
                <w:rFonts w:ascii="Times New Roman" w:hAnsi="Times New Roman" w:cs="Times New Roman"/>
              </w:rPr>
              <w:t>onur.isci@bogazici.edu.tr</w:t>
            </w:r>
          </w:p>
        </w:tc>
      </w:tr>
    </w:tbl>
    <w:p w14:paraId="6EAF5EAD" w14:textId="77777777" w:rsidR="00725110" w:rsidRPr="00C6156F" w:rsidRDefault="00BC5C04" w:rsidP="00E41297">
      <w:pPr>
        <w:pStyle w:val="Heading1"/>
        <w:jc w:val="center"/>
        <w:rPr>
          <w:rFonts w:ascii="Times New Roman" w:hAnsi="Times New Roman" w:cs="Times New Roman"/>
        </w:rPr>
      </w:pPr>
      <w:r w:rsidRPr="00C6156F">
        <w:rPr>
          <w:rFonts w:ascii="Times New Roman" w:hAnsi="Times New Roman" w:cs="Times New Roman"/>
        </w:rPr>
        <w:t>COURSE DESCRIPTION</w:t>
      </w:r>
    </w:p>
    <w:p w14:paraId="58CFF2C1" w14:textId="77777777" w:rsidR="00E41297" w:rsidRDefault="00E41297">
      <w:pPr>
        <w:rPr>
          <w:rFonts w:ascii="Times New Roman" w:hAnsi="Times New Roman" w:cs="Times New Roman"/>
        </w:rPr>
      </w:pPr>
    </w:p>
    <w:p w14:paraId="3CA0C322" w14:textId="77777777" w:rsidR="00725110" w:rsidRPr="00BC5C04" w:rsidRDefault="00497432" w:rsidP="00BC5C04">
      <w:pPr>
        <w:pStyle w:val="ListParagraph"/>
        <w:numPr>
          <w:ilvl w:val="0"/>
          <w:numId w:val="38"/>
        </w:numPr>
        <w:jc w:val="both"/>
        <w:rPr>
          <w:rFonts w:ascii="Times New Roman" w:hAnsi="Times New Roman" w:cs="Times New Roman"/>
          <w:sz w:val="24"/>
          <w:szCs w:val="24"/>
        </w:rPr>
      </w:pPr>
      <w:r w:rsidRPr="00BC5C04">
        <w:rPr>
          <w:rFonts w:ascii="Times New Roman" w:hAnsi="Times New Roman" w:cs="Times New Roman"/>
          <w:sz w:val="24"/>
          <w:szCs w:val="24"/>
        </w:rPr>
        <w:t>This graduate seminar examines Türkiye’s changing place in the international system since the end of the Cold War. Rather than treating Turkish foreign policy as a sequence of bilateral relationships, the course explores how historical legacie</w:t>
      </w:r>
      <w:r w:rsidRPr="00BC5C04">
        <w:rPr>
          <w:rFonts w:ascii="Times New Roman" w:hAnsi="Times New Roman" w:cs="Times New Roman"/>
          <w:sz w:val="24"/>
          <w:szCs w:val="24"/>
        </w:rPr>
        <w:t>s, regional transformations, great-power politics, economic interdependence, security concerns, and domestic change have shaped Türkiye’s international position.</w:t>
      </w:r>
    </w:p>
    <w:p w14:paraId="7E6AD434" w14:textId="77777777" w:rsidR="00725110" w:rsidRPr="00BC5C04" w:rsidRDefault="00497432" w:rsidP="00BC5C04">
      <w:pPr>
        <w:pStyle w:val="ListParagraph"/>
        <w:numPr>
          <w:ilvl w:val="0"/>
          <w:numId w:val="38"/>
        </w:numPr>
        <w:jc w:val="both"/>
        <w:rPr>
          <w:rFonts w:ascii="Times New Roman" w:hAnsi="Times New Roman" w:cs="Times New Roman"/>
          <w:sz w:val="24"/>
          <w:szCs w:val="24"/>
        </w:rPr>
      </w:pPr>
      <w:r w:rsidRPr="00BC5C04">
        <w:rPr>
          <w:rFonts w:ascii="Times New Roman" w:hAnsi="Times New Roman" w:cs="Times New Roman"/>
          <w:sz w:val="24"/>
          <w:szCs w:val="24"/>
        </w:rPr>
        <w:t>The seminar begins by identifying historical patterns of continuity and change in Turkish fore</w:t>
      </w:r>
      <w:r w:rsidRPr="00BC5C04">
        <w:rPr>
          <w:rFonts w:ascii="Times New Roman" w:hAnsi="Times New Roman" w:cs="Times New Roman"/>
          <w:sz w:val="24"/>
          <w:szCs w:val="24"/>
        </w:rPr>
        <w:t>ign policy before turning to the post-Cold War period. It then examines Russia and the Black Sea, the Caucasus, Central Asia and Eurasia, the United States and NATO, the European Union, Cyprus and the Eastern Mediterranean, the Middle East, China, and Sub-</w:t>
      </w:r>
      <w:r w:rsidRPr="00BC5C04">
        <w:rPr>
          <w:rFonts w:ascii="Times New Roman" w:hAnsi="Times New Roman" w:cs="Times New Roman"/>
          <w:sz w:val="24"/>
          <w:szCs w:val="24"/>
        </w:rPr>
        <w:t>Saharan Africa.</w:t>
      </w:r>
    </w:p>
    <w:p w14:paraId="635BBB76" w14:textId="77777777" w:rsidR="00725110" w:rsidRPr="00BC5C04" w:rsidRDefault="00497432" w:rsidP="00BC5C04">
      <w:pPr>
        <w:pStyle w:val="ListParagraph"/>
        <w:numPr>
          <w:ilvl w:val="0"/>
          <w:numId w:val="38"/>
        </w:numPr>
        <w:jc w:val="both"/>
        <w:rPr>
          <w:rFonts w:ascii="Times New Roman" w:hAnsi="Times New Roman" w:cs="Times New Roman"/>
          <w:sz w:val="24"/>
          <w:szCs w:val="24"/>
        </w:rPr>
      </w:pPr>
      <w:r w:rsidRPr="00BC5C04">
        <w:rPr>
          <w:rFonts w:ascii="Times New Roman" w:hAnsi="Times New Roman" w:cs="Times New Roman"/>
          <w:sz w:val="24"/>
          <w:szCs w:val="24"/>
        </w:rPr>
        <w:t>Throughout the semester, students will consider a recurring question: which elements of contemporary Turkish foreign policy represent genuine departures from earlier patterns, and which reflect longer-standing strategic, economic, and geopo</w:t>
      </w:r>
      <w:r w:rsidRPr="00BC5C04">
        <w:rPr>
          <w:rFonts w:ascii="Times New Roman" w:hAnsi="Times New Roman" w:cs="Times New Roman"/>
          <w:sz w:val="24"/>
          <w:szCs w:val="24"/>
        </w:rPr>
        <w:t>litical continuities?</w:t>
      </w:r>
    </w:p>
    <w:p w14:paraId="51337F59" w14:textId="77777777" w:rsidR="00725110" w:rsidRPr="00C6156F" w:rsidRDefault="00BC5C04" w:rsidP="00E41297">
      <w:pPr>
        <w:pStyle w:val="Heading1"/>
        <w:jc w:val="center"/>
        <w:rPr>
          <w:rFonts w:ascii="Times New Roman" w:hAnsi="Times New Roman" w:cs="Times New Roman"/>
        </w:rPr>
      </w:pPr>
      <w:r w:rsidRPr="00C6156F">
        <w:rPr>
          <w:rFonts w:ascii="Times New Roman" w:hAnsi="Times New Roman" w:cs="Times New Roman"/>
        </w:rPr>
        <w:t>COURSE OBJECTIVES</w:t>
      </w:r>
    </w:p>
    <w:p w14:paraId="3FA95F3C" w14:textId="77777777" w:rsidR="00E41297" w:rsidRDefault="00E41297">
      <w:pPr>
        <w:pStyle w:val="ListNumber"/>
        <w:rPr>
          <w:rFonts w:ascii="Times New Roman" w:hAnsi="Times New Roman" w:cs="Times New Roman"/>
        </w:rPr>
      </w:pPr>
    </w:p>
    <w:p w14:paraId="5FB75BD5" w14:textId="77777777" w:rsidR="00E41297" w:rsidRPr="00BC5C04" w:rsidRDefault="00497432" w:rsidP="00BC5C04">
      <w:pPr>
        <w:pStyle w:val="ListNumber"/>
        <w:numPr>
          <w:ilvl w:val="0"/>
          <w:numId w:val="37"/>
        </w:numPr>
        <w:jc w:val="both"/>
        <w:rPr>
          <w:rFonts w:ascii="Times New Roman" w:hAnsi="Times New Roman" w:cs="Times New Roman"/>
          <w:sz w:val="24"/>
          <w:szCs w:val="24"/>
        </w:rPr>
      </w:pPr>
      <w:r w:rsidRPr="00BC5C04">
        <w:rPr>
          <w:rFonts w:ascii="Times New Roman" w:hAnsi="Times New Roman" w:cs="Times New Roman"/>
          <w:sz w:val="24"/>
          <w:szCs w:val="24"/>
        </w:rPr>
        <w:t>Explain major transformations and continuities in Turkish foreign policy from historical and post-Cold War perspectives.</w:t>
      </w:r>
    </w:p>
    <w:p w14:paraId="184AEED2" w14:textId="77777777" w:rsidR="00725110" w:rsidRPr="00BC5C04" w:rsidRDefault="00497432" w:rsidP="00BC5C04">
      <w:pPr>
        <w:pStyle w:val="ListNumber"/>
        <w:numPr>
          <w:ilvl w:val="0"/>
          <w:numId w:val="37"/>
        </w:numPr>
        <w:jc w:val="both"/>
        <w:rPr>
          <w:rFonts w:ascii="Times New Roman" w:hAnsi="Times New Roman" w:cs="Times New Roman"/>
          <w:sz w:val="24"/>
          <w:szCs w:val="24"/>
        </w:rPr>
      </w:pPr>
      <w:r w:rsidRPr="00BC5C04">
        <w:rPr>
          <w:rFonts w:ascii="Times New Roman" w:hAnsi="Times New Roman" w:cs="Times New Roman"/>
          <w:sz w:val="24"/>
          <w:szCs w:val="24"/>
        </w:rPr>
        <w:t>Analyze Türkiye’s relations with regional and global actors using historical, geopolitical, an</w:t>
      </w:r>
      <w:r w:rsidRPr="00BC5C04">
        <w:rPr>
          <w:rFonts w:ascii="Times New Roman" w:hAnsi="Times New Roman" w:cs="Times New Roman"/>
          <w:sz w:val="24"/>
          <w:szCs w:val="24"/>
        </w:rPr>
        <w:t>d comparative approaches.</w:t>
      </w:r>
    </w:p>
    <w:p w14:paraId="0DB8AC1C" w14:textId="77777777" w:rsidR="00E41297" w:rsidRPr="00BC5C04" w:rsidRDefault="00497432" w:rsidP="00BC5C04">
      <w:pPr>
        <w:pStyle w:val="ListNumber"/>
        <w:numPr>
          <w:ilvl w:val="0"/>
          <w:numId w:val="37"/>
        </w:numPr>
        <w:jc w:val="both"/>
        <w:rPr>
          <w:rFonts w:ascii="Times New Roman" w:hAnsi="Times New Roman" w:cs="Times New Roman"/>
          <w:sz w:val="24"/>
          <w:szCs w:val="24"/>
        </w:rPr>
      </w:pPr>
      <w:r w:rsidRPr="00BC5C04">
        <w:rPr>
          <w:rFonts w:ascii="Times New Roman" w:hAnsi="Times New Roman" w:cs="Times New Roman"/>
          <w:sz w:val="24"/>
          <w:szCs w:val="24"/>
        </w:rPr>
        <w:t>Evaluate the influence of security, political economy, energy, connectivity, and great-power competition on Turkish foreign policy.</w:t>
      </w:r>
    </w:p>
    <w:p w14:paraId="00AF5C08" w14:textId="77777777" w:rsidR="00725110" w:rsidRPr="00BC5C04" w:rsidRDefault="00497432" w:rsidP="00BC5C04">
      <w:pPr>
        <w:pStyle w:val="ListNumber"/>
        <w:numPr>
          <w:ilvl w:val="0"/>
          <w:numId w:val="37"/>
        </w:numPr>
        <w:jc w:val="both"/>
        <w:rPr>
          <w:rFonts w:ascii="Times New Roman" w:hAnsi="Times New Roman" w:cs="Times New Roman"/>
          <w:sz w:val="24"/>
          <w:szCs w:val="24"/>
        </w:rPr>
      </w:pPr>
      <w:r w:rsidRPr="00BC5C04">
        <w:rPr>
          <w:rFonts w:ascii="Times New Roman" w:hAnsi="Times New Roman" w:cs="Times New Roman"/>
          <w:sz w:val="24"/>
          <w:szCs w:val="24"/>
        </w:rPr>
        <w:t>Critically evaluate scholarly and policy literature concerning Türkiye’s international role.</w:t>
      </w:r>
    </w:p>
    <w:p w14:paraId="626A58AD" w14:textId="77777777" w:rsidR="00725110" w:rsidRPr="00BC5C04" w:rsidRDefault="00497432" w:rsidP="00BC5C04">
      <w:pPr>
        <w:pStyle w:val="ListNumber"/>
        <w:numPr>
          <w:ilvl w:val="0"/>
          <w:numId w:val="37"/>
        </w:numPr>
        <w:jc w:val="both"/>
        <w:rPr>
          <w:rFonts w:ascii="Times New Roman" w:hAnsi="Times New Roman" w:cs="Times New Roman"/>
          <w:sz w:val="24"/>
          <w:szCs w:val="24"/>
        </w:rPr>
      </w:pPr>
      <w:r w:rsidRPr="00BC5C04">
        <w:rPr>
          <w:rFonts w:ascii="Times New Roman" w:hAnsi="Times New Roman" w:cs="Times New Roman"/>
          <w:sz w:val="24"/>
          <w:szCs w:val="24"/>
        </w:rPr>
        <w:t>Devel</w:t>
      </w:r>
      <w:r w:rsidRPr="00BC5C04">
        <w:rPr>
          <w:rFonts w:ascii="Times New Roman" w:hAnsi="Times New Roman" w:cs="Times New Roman"/>
          <w:sz w:val="24"/>
          <w:szCs w:val="24"/>
        </w:rPr>
        <w:t>op and present an independent research argument concerning a significant problem in Turkish foreign policy.</w:t>
      </w:r>
    </w:p>
    <w:p w14:paraId="24D8C06A" w14:textId="77777777" w:rsidR="00E41297" w:rsidRDefault="00E41297">
      <w:pPr>
        <w:spacing w:after="200"/>
        <w:rPr>
          <w:rFonts w:ascii="Times New Roman" w:eastAsiaTheme="majorEastAsia" w:hAnsi="Times New Roman" w:cs="Times New Roman"/>
          <w:b/>
          <w:bCs/>
          <w:color w:val="365F91" w:themeColor="accent1" w:themeShade="BF"/>
          <w:sz w:val="28"/>
          <w:szCs w:val="28"/>
        </w:rPr>
      </w:pPr>
      <w:r>
        <w:rPr>
          <w:rFonts w:ascii="Times New Roman" w:hAnsi="Times New Roman" w:cs="Times New Roman"/>
        </w:rPr>
        <w:br w:type="page"/>
      </w:r>
    </w:p>
    <w:p w14:paraId="2A5A601A" w14:textId="77777777" w:rsidR="00725110" w:rsidRPr="00C6156F" w:rsidRDefault="00BC5C04" w:rsidP="00BC5C04">
      <w:pPr>
        <w:pStyle w:val="Heading1"/>
        <w:jc w:val="center"/>
        <w:rPr>
          <w:rFonts w:ascii="Times New Roman" w:hAnsi="Times New Roman" w:cs="Times New Roman"/>
        </w:rPr>
      </w:pPr>
      <w:r w:rsidRPr="00C6156F">
        <w:rPr>
          <w:rFonts w:ascii="Times New Roman" w:hAnsi="Times New Roman" w:cs="Times New Roman"/>
        </w:rPr>
        <w:lastRenderedPageBreak/>
        <w:t>ASSESSMENT</w:t>
      </w:r>
    </w:p>
    <w:p w14:paraId="682584C2" w14:textId="77777777" w:rsidR="00F25EDB" w:rsidRDefault="00F25EDB">
      <w:pPr>
        <w:rPr>
          <w:rFonts w:ascii="Times New Roman" w:hAnsi="Times New Roman" w:cs="Times New Roman"/>
          <w:b/>
        </w:rPr>
      </w:pPr>
    </w:p>
    <w:p w14:paraId="0262F2FA" w14:textId="77777777" w:rsidR="00E41297" w:rsidRPr="00BC5C04" w:rsidRDefault="00497432" w:rsidP="00BC5C04">
      <w:pPr>
        <w:rPr>
          <w:rFonts w:ascii="Times New Roman" w:hAnsi="Times New Roman" w:cs="Times New Roman"/>
          <w:sz w:val="24"/>
          <w:szCs w:val="24"/>
        </w:rPr>
      </w:pPr>
      <w:r w:rsidRPr="00BC5C04">
        <w:rPr>
          <w:rFonts w:ascii="Times New Roman" w:eastAsiaTheme="majorEastAsia" w:hAnsi="Times New Roman" w:cs="Times New Roman"/>
          <w:b/>
          <w:bCs/>
          <w:color w:val="4F81BD" w:themeColor="accent1"/>
          <w:sz w:val="26"/>
          <w:szCs w:val="26"/>
        </w:rPr>
        <w:t>Active Seminar Participation — 20%</w:t>
      </w:r>
      <w:r w:rsidRPr="00BC5C04">
        <w:rPr>
          <w:rFonts w:ascii="Times New Roman" w:hAnsi="Times New Roman" w:cs="Times New Roman"/>
          <w:sz w:val="24"/>
          <w:szCs w:val="24"/>
        </w:rPr>
        <w:br/>
        <w:t>Preparation, engagement, consistency, and substantive reading-based contributions.</w:t>
      </w:r>
    </w:p>
    <w:p w14:paraId="291014E6" w14:textId="77777777" w:rsidR="00725110" w:rsidRPr="00BC5C04" w:rsidRDefault="00497432" w:rsidP="00BC5C04">
      <w:pPr>
        <w:rPr>
          <w:rFonts w:ascii="Times New Roman" w:hAnsi="Times New Roman" w:cs="Times New Roman"/>
          <w:sz w:val="24"/>
          <w:szCs w:val="24"/>
        </w:rPr>
      </w:pPr>
      <w:r w:rsidRPr="00BC5C04">
        <w:rPr>
          <w:rFonts w:ascii="Times New Roman" w:eastAsiaTheme="majorEastAsia" w:hAnsi="Times New Roman" w:cs="Times New Roman"/>
          <w:b/>
          <w:bCs/>
          <w:color w:val="4F81BD" w:themeColor="accent1"/>
          <w:sz w:val="26"/>
          <w:szCs w:val="26"/>
        </w:rPr>
        <w:t xml:space="preserve">Reading Journal </w:t>
      </w:r>
      <w:r w:rsidRPr="00BC5C04">
        <w:rPr>
          <w:rFonts w:ascii="Times New Roman" w:eastAsiaTheme="majorEastAsia" w:hAnsi="Times New Roman" w:cs="Times New Roman"/>
          <w:b/>
          <w:bCs/>
          <w:color w:val="4F81BD" w:themeColor="accent1"/>
          <w:sz w:val="26"/>
          <w:szCs w:val="26"/>
        </w:rPr>
        <w:t>(Handwritten Notebook) — 20%</w:t>
      </w:r>
      <w:r w:rsidRPr="00BC5C04">
        <w:rPr>
          <w:rFonts w:ascii="Times New Roman" w:eastAsiaTheme="majorEastAsia" w:hAnsi="Times New Roman" w:cs="Times New Roman"/>
          <w:b/>
          <w:bCs/>
          <w:color w:val="4F81BD" w:themeColor="accent1"/>
          <w:sz w:val="26"/>
          <w:szCs w:val="26"/>
        </w:rPr>
        <w:br/>
      </w:r>
      <w:r w:rsidRPr="00BC5C04">
        <w:rPr>
          <w:rFonts w:ascii="Times New Roman" w:hAnsi="Times New Roman" w:cs="Times New Roman"/>
          <w:sz w:val="24"/>
          <w:szCs w:val="24"/>
        </w:rPr>
        <w:t>A cumulative handwritten journal based on weekly assignments. Entries should summarize key arguments, identify conceptual interventions, and raise critical questions for seminar discussion.</w:t>
      </w:r>
    </w:p>
    <w:p w14:paraId="68FE783F" w14:textId="77777777" w:rsidR="00725110" w:rsidRPr="00BC5C04" w:rsidRDefault="00497432" w:rsidP="00BC5C04">
      <w:pPr>
        <w:rPr>
          <w:rFonts w:ascii="Times New Roman" w:hAnsi="Times New Roman" w:cs="Times New Roman"/>
          <w:sz w:val="24"/>
          <w:szCs w:val="24"/>
        </w:rPr>
      </w:pPr>
      <w:r w:rsidRPr="00BC5C04">
        <w:rPr>
          <w:rFonts w:ascii="Times New Roman" w:eastAsiaTheme="majorEastAsia" w:hAnsi="Times New Roman" w:cs="Times New Roman"/>
          <w:b/>
          <w:bCs/>
          <w:color w:val="4F81BD" w:themeColor="accent1"/>
          <w:sz w:val="26"/>
          <w:szCs w:val="26"/>
        </w:rPr>
        <w:t>Leading Discussions — 20%</w:t>
      </w:r>
      <w:r w:rsidRPr="00BC5C04">
        <w:rPr>
          <w:rFonts w:ascii="Times New Roman" w:eastAsiaTheme="majorEastAsia" w:hAnsi="Times New Roman" w:cs="Times New Roman"/>
          <w:b/>
          <w:bCs/>
          <w:color w:val="4F81BD" w:themeColor="accent1"/>
          <w:sz w:val="26"/>
          <w:szCs w:val="26"/>
        </w:rPr>
        <w:br/>
      </w:r>
      <w:r w:rsidRPr="00BC5C04">
        <w:rPr>
          <w:rFonts w:ascii="Times New Roman" w:hAnsi="Times New Roman" w:cs="Times New Roman"/>
          <w:sz w:val="24"/>
          <w:szCs w:val="24"/>
        </w:rPr>
        <w:t>Each studen</w:t>
      </w:r>
      <w:r w:rsidRPr="00BC5C04">
        <w:rPr>
          <w:rFonts w:ascii="Times New Roman" w:hAnsi="Times New Roman" w:cs="Times New Roman"/>
          <w:sz w:val="24"/>
          <w:szCs w:val="24"/>
        </w:rPr>
        <w:t>t will lead two seminar discussions based on assigned readings, identifying the argument, contribution, methodology, strengths and limitations, and preparing discussion questions.</w:t>
      </w:r>
    </w:p>
    <w:p w14:paraId="0557FEAE" w14:textId="77777777" w:rsidR="00E41297" w:rsidRPr="00BC5C04" w:rsidRDefault="00497432" w:rsidP="00BC5C04">
      <w:pPr>
        <w:rPr>
          <w:rFonts w:ascii="Times New Roman" w:hAnsi="Times New Roman" w:cs="Times New Roman"/>
          <w:sz w:val="24"/>
          <w:szCs w:val="24"/>
        </w:rPr>
      </w:pPr>
      <w:r w:rsidRPr="00BC5C04">
        <w:rPr>
          <w:rFonts w:ascii="Times New Roman" w:eastAsiaTheme="majorEastAsia" w:hAnsi="Times New Roman" w:cs="Times New Roman"/>
          <w:b/>
          <w:bCs/>
          <w:color w:val="4F81BD" w:themeColor="accent1"/>
          <w:sz w:val="26"/>
          <w:szCs w:val="26"/>
        </w:rPr>
        <w:t>Final Research Paper — 40%</w:t>
      </w:r>
      <w:r w:rsidRPr="00BC5C04">
        <w:rPr>
          <w:rFonts w:ascii="Times New Roman" w:eastAsiaTheme="majorEastAsia" w:hAnsi="Times New Roman" w:cs="Times New Roman"/>
          <w:b/>
          <w:bCs/>
          <w:color w:val="4F81BD" w:themeColor="accent1"/>
          <w:sz w:val="26"/>
          <w:szCs w:val="26"/>
        </w:rPr>
        <w:br/>
      </w:r>
      <w:r w:rsidRPr="00BC5C04">
        <w:rPr>
          <w:rFonts w:ascii="Times New Roman" w:hAnsi="Times New Roman" w:cs="Times New Roman"/>
          <w:sz w:val="24"/>
          <w:szCs w:val="24"/>
        </w:rPr>
        <w:t>An original research paper of approximately 5,000</w:t>
      </w:r>
      <w:r w:rsidRPr="00BC5C04">
        <w:rPr>
          <w:rFonts w:ascii="Times New Roman" w:hAnsi="Times New Roman" w:cs="Times New Roman"/>
          <w:sz w:val="24"/>
          <w:szCs w:val="24"/>
        </w:rPr>
        <w:t>–6,000 words. In Week 14, students submit a one-page abstract, detailed outline, and bibliography and make a 15-minute presentation for peer and instructor feedback.</w:t>
      </w:r>
    </w:p>
    <w:p w14:paraId="1BD1FB02" w14:textId="77777777" w:rsidR="00E41297" w:rsidRDefault="00BC5C04" w:rsidP="00F25EDB">
      <w:pPr>
        <w:pStyle w:val="Heading1"/>
        <w:jc w:val="center"/>
        <w:rPr>
          <w:rFonts w:ascii="Times New Roman" w:hAnsi="Times New Roman" w:cs="Times New Roman"/>
        </w:rPr>
      </w:pPr>
      <w:r w:rsidRPr="00C6156F">
        <w:rPr>
          <w:rFonts w:ascii="Times New Roman" w:hAnsi="Times New Roman" w:cs="Times New Roman"/>
        </w:rPr>
        <w:t xml:space="preserve">COURSE </w:t>
      </w:r>
      <w:r>
        <w:rPr>
          <w:rFonts w:ascii="Times New Roman" w:hAnsi="Times New Roman" w:cs="Times New Roman"/>
        </w:rPr>
        <w:t xml:space="preserve">FORMAT &amp; </w:t>
      </w:r>
      <w:r w:rsidRPr="00C6156F">
        <w:rPr>
          <w:rFonts w:ascii="Times New Roman" w:hAnsi="Times New Roman" w:cs="Times New Roman"/>
        </w:rPr>
        <w:t>POLICIES</w:t>
      </w:r>
    </w:p>
    <w:p w14:paraId="61972C21" w14:textId="77777777" w:rsidR="00E41297" w:rsidRDefault="00E41297" w:rsidP="00E41297">
      <w:pPr>
        <w:pStyle w:val="Heading2"/>
        <w:rPr>
          <w:rFonts w:ascii="Times New Roman" w:hAnsi="Times New Roman" w:cs="Times New Roman"/>
        </w:rPr>
      </w:pPr>
      <w:r>
        <w:rPr>
          <w:rFonts w:ascii="Times New Roman" w:hAnsi="Times New Roman" w:cs="Times New Roman"/>
        </w:rPr>
        <w:t>Format</w:t>
      </w:r>
    </w:p>
    <w:p w14:paraId="7F84D4DC" w14:textId="77777777" w:rsidR="00E41297" w:rsidRPr="00BC5C04" w:rsidRDefault="00E41297" w:rsidP="00E41297">
      <w:pPr>
        <w:rPr>
          <w:rFonts w:ascii="Times New Roman" w:hAnsi="Times New Roman" w:cs="Times New Roman"/>
          <w:sz w:val="24"/>
          <w:szCs w:val="24"/>
        </w:rPr>
      </w:pPr>
      <w:r w:rsidRPr="00BC5C04">
        <w:rPr>
          <w:rFonts w:ascii="Times New Roman" w:hAnsi="Times New Roman" w:cs="Times New Roman"/>
          <w:sz w:val="24"/>
          <w:szCs w:val="24"/>
        </w:rPr>
        <w:t>This is a graduate seminar. Students are expected to complete the assigned readings before class and participate actively in discussion. Meetings combine a short introductory lecture with close discussion of the readings. Students will also lead discussions and present their research.</w:t>
      </w:r>
    </w:p>
    <w:p w14:paraId="25E70B30" w14:textId="77777777" w:rsidR="00E41297" w:rsidRPr="00BC5C04" w:rsidRDefault="00E41297" w:rsidP="00E41297">
      <w:pPr>
        <w:pStyle w:val="Heading2"/>
        <w:rPr>
          <w:rFonts w:ascii="Times New Roman" w:hAnsi="Times New Roman" w:cs="Times New Roman"/>
        </w:rPr>
      </w:pPr>
      <w:r w:rsidRPr="00BC5C04">
        <w:rPr>
          <w:rFonts w:ascii="Times New Roman" w:hAnsi="Times New Roman" w:cs="Times New Roman"/>
        </w:rPr>
        <w:t>Attendance and Participation</w:t>
      </w:r>
    </w:p>
    <w:p w14:paraId="2BA4EF4E" w14:textId="77777777" w:rsidR="00E41297" w:rsidRPr="00BC5C04" w:rsidRDefault="00E41297" w:rsidP="00E41297">
      <w:pPr>
        <w:rPr>
          <w:rFonts w:ascii="Times New Roman" w:hAnsi="Times New Roman" w:cs="Times New Roman"/>
          <w:sz w:val="24"/>
          <w:szCs w:val="24"/>
        </w:rPr>
      </w:pPr>
      <w:r w:rsidRPr="00BC5C04">
        <w:rPr>
          <w:rFonts w:ascii="Times New Roman" w:hAnsi="Times New Roman" w:cs="Times New Roman"/>
          <w:sz w:val="24"/>
          <w:szCs w:val="24"/>
        </w:rPr>
        <w:t>Because this is a seminar, regular attendance and informed participation are essential. Students should arrive having completed the assigned readings and prepared to discuss their arguments and evidence rather than simply summarize them.</w:t>
      </w:r>
    </w:p>
    <w:p w14:paraId="717D4605" w14:textId="77777777" w:rsidR="00E41297" w:rsidRPr="00BC5C04" w:rsidRDefault="00E41297" w:rsidP="00E41297">
      <w:pPr>
        <w:pStyle w:val="Heading2"/>
        <w:rPr>
          <w:rFonts w:ascii="Times New Roman" w:hAnsi="Times New Roman" w:cs="Times New Roman"/>
        </w:rPr>
      </w:pPr>
      <w:r w:rsidRPr="00BC5C04">
        <w:rPr>
          <w:rFonts w:ascii="Times New Roman" w:hAnsi="Times New Roman" w:cs="Times New Roman"/>
        </w:rPr>
        <w:t>Academic Integrity</w:t>
      </w:r>
    </w:p>
    <w:p w14:paraId="6DF420FB" w14:textId="77777777" w:rsidR="00E41297" w:rsidRPr="00BC5C04" w:rsidRDefault="00E41297" w:rsidP="00E41297">
      <w:pPr>
        <w:rPr>
          <w:rFonts w:ascii="Times New Roman" w:hAnsi="Times New Roman" w:cs="Times New Roman"/>
          <w:sz w:val="24"/>
          <w:szCs w:val="24"/>
        </w:rPr>
      </w:pPr>
      <w:r w:rsidRPr="00BC5C04">
        <w:rPr>
          <w:rFonts w:ascii="Times New Roman" w:hAnsi="Times New Roman" w:cs="Times New Roman"/>
          <w:sz w:val="24"/>
          <w:szCs w:val="24"/>
        </w:rPr>
        <w:t>All submitted work must comply with Boğaziçi University regulations concerning academic integrity and proper attribution of sources.</w:t>
      </w:r>
    </w:p>
    <w:p w14:paraId="49A21E11" w14:textId="77777777" w:rsidR="00E41297" w:rsidRPr="00BC5C04" w:rsidRDefault="00E41297" w:rsidP="00E41297">
      <w:pPr>
        <w:pStyle w:val="Heading2"/>
        <w:rPr>
          <w:rFonts w:ascii="Times New Roman" w:hAnsi="Times New Roman" w:cs="Times New Roman"/>
        </w:rPr>
      </w:pPr>
      <w:r w:rsidRPr="00BC5C04">
        <w:rPr>
          <w:rFonts w:ascii="Times New Roman" w:hAnsi="Times New Roman" w:cs="Times New Roman"/>
        </w:rPr>
        <w:t>Use of Generative AI</w:t>
      </w:r>
    </w:p>
    <w:p w14:paraId="6B6846C4" w14:textId="77777777" w:rsidR="00E41297" w:rsidRPr="00BC5C04" w:rsidRDefault="00E41297" w:rsidP="00E41297">
      <w:pPr>
        <w:rPr>
          <w:rFonts w:ascii="Times New Roman" w:hAnsi="Times New Roman" w:cs="Times New Roman"/>
          <w:sz w:val="24"/>
          <w:szCs w:val="24"/>
        </w:rPr>
      </w:pPr>
      <w:r w:rsidRPr="00BC5C04">
        <w:rPr>
          <w:rFonts w:ascii="Times New Roman" w:hAnsi="Times New Roman" w:cs="Times New Roman"/>
          <w:sz w:val="24"/>
          <w:szCs w:val="24"/>
        </w:rPr>
        <w:t>Generative AI tools may be used as research aids; however, they may not substitute for the student’s own reading, research, analysis, or writing. Students should be prepared to explain how research questions emerged, how sources were selected, and how analytical decisions were made. Any substantive use of generative AI in assessed work should be disclosed.</w:t>
      </w:r>
    </w:p>
    <w:p w14:paraId="1A6FD02E" w14:textId="77777777" w:rsidR="00E41297" w:rsidRPr="00BC5C04" w:rsidRDefault="00E41297" w:rsidP="00E41297">
      <w:pPr>
        <w:pStyle w:val="Heading2"/>
        <w:rPr>
          <w:rFonts w:ascii="Times New Roman" w:hAnsi="Times New Roman" w:cs="Times New Roman"/>
        </w:rPr>
      </w:pPr>
      <w:r w:rsidRPr="00BC5C04">
        <w:rPr>
          <w:rFonts w:ascii="Times New Roman" w:hAnsi="Times New Roman" w:cs="Times New Roman"/>
        </w:rPr>
        <w:t>Changes to the Syllabus</w:t>
      </w:r>
    </w:p>
    <w:p w14:paraId="4E923BAB" w14:textId="77777777" w:rsidR="00E41297" w:rsidRPr="00BC5C04" w:rsidRDefault="00E41297" w:rsidP="00BC5C04">
      <w:pPr>
        <w:rPr>
          <w:rFonts w:ascii="Times New Roman" w:hAnsi="Times New Roman" w:cs="Times New Roman"/>
          <w:sz w:val="24"/>
          <w:szCs w:val="24"/>
        </w:rPr>
      </w:pPr>
      <w:r w:rsidRPr="00BC5C04">
        <w:rPr>
          <w:rFonts w:ascii="Times New Roman" w:hAnsi="Times New Roman" w:cs="Times New Roman"/>
          <w:sz w:val="24"/>
          <w:szCs w:val="24"/>
        </w:rPr>
        <w:t>The instructor may make reasonable changes to readings or the weekly schedule during the semester. Any changes will be announced in advance.</w:t>
      </w:r>
    </w:p>
    <w:p w14:paraId="5B07E97C" w14:textId="77777777" w:rsidR="00725110" w:rsidRPr="00C6156F" w:rsidRDefault="00BC5C04" w:rsidP="00E41297">
      <w:pPr>
        <w:pStyle w:val="Heading1"/>
        <w:jc w:val="center"/>
        <w:rPr>
          <w:rFonts w:ascii="Times New Roman" w:hAnsi="Times New Roman" w:cs="Times New Roman"/>
        </w:rPr>
      </w:pPr>
      <w:r w:rsidRPr="00C6156F">
        <w:rPr>
          <w:rFonts w:ascii="Times New Roman" w:hAnsi="Times New Roman" w:cs="Times New Roman"/>
        </w:rPr>
        <w:lastRenderedPageBreak/>
        <w:t>WEEKLY SCHEDULE AND READINGS</w:t>
      </w:r>
    </w:p>
    <w:p w14:paraId="59951622" w14:textId="77777777" w:rsidR="00725110" w:rsidRPr="00C6156F" w:rsidRDefault="00497432">
      <w:pPr>
        <w:pStyle w:val="Heading2"/>
        <w:rPr>
          <w:rFonts w:ascii="Times New Roman" w:hAnsi="Times New Roman" w:cs="Times New Roman"/>
        </w:rPr>
      </w:pPr>
      <w:r w:rsidRPr="00C6156F">
        <w:rPr>
          <w:rFonts w:ascii="Times New Roman" w:hAnsi="Times New Roman" w:cs="Times New Roman"/>
        </w:rPr>
        <w:t>Week 1 — Introduction</w:t>
      </w:r>
    </w:p>
    <w:p w14:paraId="477EF942" w14:textId="77777777" w:rsidR="00E41297" w:rsidRDefault="00E41297">
      <w:pPr>
        <w:rPr>
          <w:rFonts w:ascii="Times New Roman" w:hAnsi="Times New Roman" w:cs="Times New Roman"/>
        </w:rPr>
      </w:pPr>
    </w:p>
    <w:p w14:paraId="6D2D29D2" w14:textId="77777777" w:rsidR="00725110" w:rsidRPr="00E41297" w:rsidRDefault="00497432" w:rsidP="00E41297">
      <w:pPr>
        <w:pStyle w:val="ListParagraph"/>
        <w:numPr>
          <w:ilvl w:val="0"/>
          <w:numId w:val="39"/>
        </w:numPr>
        <w:rPr>
          <w:rFonts w:ascii="Times New Roman" w:hAnsi="Times New Roman" w:cs="Times New Roman"/>
        </w:rPr>
      </w:pPr>
      <w:r w:rsidRPr="00E41297">
        <w:rPr>
          <w:rFonts w:ascii="Times New Roman" w:hAnsi="Times New Roman" w:cs="Times New Roman"/>
        </w:rPr>
        <w:t>Read the syllabus.</w:t>
      </w:r>
    </w:p>
    <w:p w14:paraId="78AA5D1D" w14:textId="77777777" w:rsidR="00725110" w:rsidRPr="00C6156F" w:rsidRDefault="00497432">
      <w:pPr>
        <w:pStyle w:val="Heading2"/>
        <w:rPr>
          <w:rFonts w:ascii="Times New Roman" w:hAnsi="Times New Roman" w:cs="Times New Roman"/>
        </w:rPr>
      </w:pPr>
      <w:r w:rsidRPr="00C6156F">
        <w:rPr>
          <w:rFonts w:ascii="Times New Roman" w:hAnsi="Times New Roman" w:cs="Times New Roman"/>
        </w:rPr>
        <w:t xml:space="preserve">Week 2 — </w:t>
      </w:r>
      <w:r w:rsidRPr="00C6156F">
        <w:rPr>
          <w:rFonts w:ascii="Times New Roman" w:hAnsi="Times New Roman" w:cs="Times New Roman"/>
        </w:rPr>
        <w:t>Historical Perspectives I: Patterns of Continuity</w:t>
      </w:r>
    </w:p>
    <w:p w14:paraId="3AC31D18" w14:textId="77777777" w:rsidR="00C6156F" w:rsidRDefault="00C6156F" w:rsidP="00C6156F">
      <w:pPr>
        <w:pStyle w:val="ListNumber"/>
        <w:ind w:left="720"/>
        <w:rPr>
          <w:rFonts w:ascii="Times New Roman" w:hAnsi="Times New Roman" w:cs="Times New Roman"/>
        </w:rPr>
      </w:pPr>
    </w:p>
    <w:p w14:paraId="6A3FE96C" w14:textId="77777777" w:rsidR="00C6156F" w:rsidRPr="00C6156F" w:rsidRDefault="00497432" w:rsidP="00C6156F">
      <w:pPr>
        <w:pStyle w:val="ListNumber"/>
        <w:numPr>
          <w:ilvl w:val="0"/>
          <w:numId w:val="5"/>
        </w:numPr>
        <w:ind w:left="720"/>
        <w:rPr>
          <w:rFonts w:ascii="Times New Roman" w:hAnsi="Times New Roman" w:cs="Times New Roman"/>
        </w:rPr>
      </w:pPr>
      <w:r w:rsidRPr="00C6156F">
        <w:rPr>
          <w:rFonts w:ascii="Times New Roman" w:hAnsi="Times New Roman" w:cs="Times New Roman"/>
        </w:rPr>
        <w:t>İşçi, Onur. “The Yardstick of Friendship: Soviet-Turkish Relations and the Montreux Convention of 1936.”</w:t>
      </w:r>
      <w:r w:rsidR="00C6156F">
        <w:rPr>
          <w:rFonts w:ascii="Times New Roman" w:hAnsi="Times New Roman" w:cs="Times New Roman"/>
        </w:rPr>
        <w:t xml:space="preserve"> </w:t>
      </w:r>
      <w:r w:rsidRPr="00C6156F">
        <w:rPr>
          <w:rFonts w:ascii="Times New Roman" w:hAnsi="Times New Roman" w:cs="Times New Roman"/>
        </w:rPr>
        <w:t>Kritika: Explorations in Russian and Eurasian History 21, no. 4 (Fall 2020): 733–762.</w:t>
      </w:r>
    </w:p>
    <w:p w14:paraId="30EACDEB" w14:textId="77777777" w:rsidR="00C6156F" w:rsidRDefault="00C6156F" w:rsidP="00C6156F">
      <w:pPr>
        <w:pStyle w:val="ListNumber"/>
        <w:rPr>
          <w:rFonts w:ascii="Times New Roman" w:hAnsi="Times New Roman" w:cs="Times New Roman"/>
        </w:rPr>
      </w:pPr>
    </w:p>
    <w:p w14:paraId="3AEA899C" w14:textId="77777777" w:rsidR="00725110" w:rsidRPr="00C6156F" w:rsidRDefault="00497432" w:rsidP="00C6156F">
      <w:pPr>
        <w:pStyle w:val="ListNumber"/>
        <w:numPr>
          <w:ilvl w:val="0"/>
          <w:numId w:val="5"/>
        </w:numPr>
        <w:tabs>
          <w:tab w:val="num" w:pos="720"/>
        </w:tabs>
        <w:ind w:left="720"/>
        <w:rPr>
          <w:rFonts w:ascii="Times New Roman" w:hAnsi="Times New Roman" w:cs="Times New Roman"/>
        </w:rPr>
      </w:pPr>
      <w:r w:rsidRPr="00C6156F">
        <w:rPr>
          <w:rFonts w:ascii="Times New Roman" w:hAnsi="Times New Roman" w:cs="Times New Roman"/>
        </w:rPr>
        <w:t>İşçi, Onur, S</w:t>
      </w:r>
      <w:r w:rsidRPr="00C6156F">
        <w:rPr>
          <w:rFonts w:ascii="Times New Roman" w:hAnsi="Times New Roman" w:cs="Times New Roman"/>
        </w:rPr>
        <w:t xml:space="preserve">amuel J. Hirst, and Orhun Bayraktar. “‘Let the Black Sea Unite Us’: The 1967 Soviet-Turkish Industrial Agreement and Ankara’s Cold War Rapprochement with Moscow.” Southeast European and Black Sea Studies (published online November 20, 2024). </w:t>
      </w:r>
      <w:hyperlink r:id="rId8" w:history="1">
        <w:r w:rsidR="00C6156F" w:rsidRPr="00C6156F">
          <w:rPr>
            <w:rStyle w:val="Hyperlink"/>
            <w:rFonts w:ascii="Times New Roman" w:hAnsi="Times New Roman" w:cs="Times New Roman"/>
          </w:rPr>
          <w:t>https://doi.org/10.1080/14683857.2024.2429862</w:t>
        </w:r>
      </w:hyperlink>
      <w:r w:rsidRPr="00C6156F">
        <w:rPr>
          <w:rFonts w:ascii="Times New Roman" w:hAnsi="Times New Roman" w:cs="Times New Roman"/>
        </w:rPr>
        <w:t>.</w:t>
      </w:r>
    </w:p>
    <w:p w14:paraId="52AE0C53" w14:textId="77777777" w:rsidR="00C6156F" w:rsidRPr="00C6156F" w:rsidRDefault="00C6156F" w:rsidP="00C6156F">
      <w:pPr>
        <w:pStyle w:val="ListNumber"/>
        <w:rPr>
          <w:rFonts w:ascii="Times New Roman" w:hAnsi="Times New Roman" w:cs="Times New Roman"/>
        </w:rPr>
      </w:pPr>
    </w:p>
    <w:p w14:paraId="7A1BA025" w14:textId="77777777" w:rsidR="00725110" w:rsidRDefault="00497432">
      <w:pPr>
        <w:pStyle w:val="Heading2"/>
        <w:rPr>
          <w:rFonts w:ascii="Times New Roman" w:hAnsi="Times New Roman" w:cs="Times New Roman"/>
        </w:rPr>
      </w:pPr>
      <w:r w:rsidRPr="00C6156F">
        <w:rPr>
          <w:rFonts w:ascii="Times New Roman" w:hAnsi="Times New Roman" w:cs="Times New Roman"/>
        </w:rPr>
        <w:t>Week 3 — Historical Perspectives II: Patterns of Change</w:t>
      </w:r>
    </w:p>
    <w:p w14:paraId="10DB9D09" w14:textId="77777777" w:rsidR="00E41297" w:rsidRPr="00E41297" w:rsidRDefault="00E41297" w:rsidP="00E41297"/>
    <w:p w14:paraId="542423D5" w14:textId="77777777" w:rsidR="00C6156F" w:rsidRDefault="00497432" w:rsidP="00C6156F">
      <w:pPr>
        <w:pStyle w:val="ListNumber"/>
        <w:numPr>
          <w:ilvl w:val="0"/>
          <w:numId w:val="11"/>
        </w:numPr>
        <w:ind w:left="720"/>
        <w:rPr>
          <w:rFonts w:ascii="Times New Roman" w:hAnsi="Times New Roman" w:cs="Times New Roman"/>
        </w:rPr>
      </w:pPr>
      <w:r w:rsidRPr="00C6156F">
        <w:rPr>
          <w:rFonts w:ascii="Times New Roman" w:hAnsi="Times New Roman" w:cs="Times New Roman"/>
        </w:rPr>
        <w:t xml:space="preserve">İşçi, Onur. “The Massigli Affair and Its Context: Turkish Foreign Policy after the Molotov–Ribbentrop Pact.” Journal of Contemporary History 55, no. 2 (2020): 271–296. </w:t>
      </w:r>
      <w:hyperlink r:id="rId9" w:history="1">
        <w:r w:rsidR="00C6156F" w:rsidRPr="00EF5E5E">
          <w:rPr>
            <w:rStyle w:val="Hyperlink"/>
            <w:rFonts w:ascii="Times New Roman" w:hAnsi="Times New Roman" w:cs="Times New Roman"/>
          </w:rPr>
          <w:t>https://doi.org/10.1177/0022009419833443</w:t>
        </w:r>
      </w:hyperlink>
      <w:r w:rsidRPr="00C6156F">
        <w:rPr>
          <w:rFonts w:ascii="Times New Roman" w:hAnsi="Times New Roman" w:cs="Times New Roman"/>
        </w:rPr>
        <w:t>.</w:t>
      </w:r>
    </w:p>
    <w:p w14:paraId="097F79C0" w14:textId="77777777" w:rsidR="00C6156F" w:rsidRDefault="00C6156F" w:rsidP="00C6156F">
      <w:pPr>
        <w:pStyle w:val="ListNumber"/>
        <w:ind w:left="720"/>
        <w:rPr>
          <w:rFonts w:ascii="Times New Roman" w:hAnsi="Times New Roman" w:cs="Times New Roman"/>
        </w:rPr>
      </w:pPr>
    </w:p>
    <w:p w14:paraId="7A6E6648" w14:textId="77777777" w:rsidR="00725110" w:rsidRPr="00C6156F" w:rsidRDefault="00497432" w:rsidP="00C6156F">
      <w:pPr>
        <w:pStyle w:val="ListNumber"/>
        <w:numPr>
          <w:ilvl w:val="0"/>
          <w:numId w:val="11"/>
        </w:numPr>
        <w:ind w:left="720"/>
        <w:rPr>
          <w:rFonts w:ascii="Times New Roman" w:hAnsi="Times New Roman" w:cs="Times New Roman"/>
        </w:rPr>
      </w:pPr>
      <w:r w:rsidRPr="00C6156F">
        <w:rPr>
          <w:rFonts w:ascii="Times New Roman" w:hAnsi="Times New Roman" w:cs="Times New Roman"/>
        </w:rPr>
        <w:t>İşçi, Onur. “Turkey at a Crossroads: The Soviet Threat and Postwar Realignment, 1945–1946.” Diplomatic History 47, no. 4 (September 2023): 621–646. https://doi.org/10.1093/dh/dhad039.</w:t>
      </w:r>
    </w:p>
    <w:p w14:paraId="7856C673" w14:textId="77777777" w:rsidR="00725110" w:rsidRDefault="00497432">
      <w:pPr>
        <w:pStyle w:val="Heading2"/>
        <w:rPr>
          <w:rFonts w:ascii="Times New Roman" w:hAnsi="Times New Roman" w:cs="Times New Roman"/>
        </w:rPr>
      </w:pPr>
      <w:r w:rsidRPr="00C6156F">
        <w:rPr>
          <w:rFonts w:ascii="Times New Roman" w:hAnsi="Times New Roman" w:cs="Times New Roman"/>
        </w:rPr>
        <w:t>Week 4 — A New Dawn? Turkish Foreign Policy since the End of</w:t>
      </w:r>
      <w:r w:rsidRPr="00C6156F">
        <w:rPr>
          <w:rFonts w:ascii="Times New Roman" w:hAnsi="Times New Roman" w:cs="Times New Roman"/>
        </w:rPr>
        <w:t xml:space="preserve"> the Cold War</w:t>
      </w:r>
    </w:p>
    <w:p w14:paraId="34081201" w14:textId="77777777" w:rsidR="00E41297" w:rsidRPr="00E41297" w:rsidRDefault="00E41297" w:rsidP="00E41297"/>
    <w:p w14:paraId="34A77D51" w14:textId="77777777" w:rsidR="00725110" w:rsidRPr="00C6156F" w:rsidRDefault="00497432" w:rsidP="00E41297">
      <w:pPr>
        <w:pStyle w:val="ListNumber"/>
        <w:numPr>
          <w:ilvl w:val="0"/>
          <w:numId w:val="26"/>
        </w:numPr>
        <w:rPr>
          <w:rFonts w:ascii="Times New Roman" w:hAnsi="Times New Roman" w:cs="Times New Roman"/>
        </w:rPr>
      </w:pPr>
      <w:r w:rsidRPr="00C6156F">
        <w:rPr>
          <w:rFonts w:ascii="Times New Roman" w:hAnsi="Times New Roman" w:cs="Times New Roman"/>
        </w:rPr>
        <w:t>İşçi, Onur, and Samuel J. Hirst. “Smokestacks and Pipelines: Russian-Turkish Relations and the Persistence of Economic Development.” Diplomatic History 44, no. 5 (November 2020): 834–859.</w:t>
      </w:r>
    </w:p>
    <w:p w14:paraId="187F54CF" w14:textId="77777777" w:rsidR="00725110" w:rsidRPr="00C6156F" w:rsidRDefault="00497432">
      <w:pPr>
        <w:pStyle w:val="Heading2"/>
        <w:rPr>
          <w:rFonts w:ascii="Times New Roman" w:hAnsi="Times New Roman" w:cs="Times New Roman"/>
        </w:rPr>
      </w:pPr>
      <w:r w:rsidRPr="00C6156F">
        <w:rPr>
          <w:rFonts w:ascii="Times New Roman" w:hAnsi="Times New Roman" w:cs="Times New Roman"/>
        </w:rPr>
        <w:t>Week 5 — Russia and the Black Sea</w:t>
      </w:r>
    </w:p>
    <w:p w14:paraId="67E54E81" w14:textId="77777777" w:rsidR="00E41297" w:rsidRDefault="00E41297" w:rsidP="00C6156F">
      <w:pPr>
        <w:pStyle w:val="ListNumber"/>
        <w:rPr>
          <w:rFonts w:ascii="Times New Roman" w:hAnsi="Times New Roman" w:cs="Times New Roman"/>
        </w:rPr>
      </w:pPr>
    </w:p>
    <w:p w14:paraId="6301ABBD" w14:textId="77777777" w:rsidR="00725110" w:rsidRDefault="00497432" w:rsidP="00E41297">
      <w:pPr>
        <w:pStyle w:val="ListNumber"/>
        <w:numPr>
          <w:ilvl w:val="0"/>
          <w:numId w:val="27"/>
        </w:numPr>
        <w:rPr>
          <w:rFonts w:ascii="Times New Roman" w:hAnsi="Times New Roman" w:cs="Times New Roman"/>
        </w:rPr>
      </w:pPr>
      <w:r w:rsidRPr="00C6156F">
        <w:rPr>
          <w:rFonts w:ascii="Times New Roman" w:hAnsi="Times New Roman" w:cs="Times New Roman"/>
        </w:rPr>
        <w:t xml:space="preserve">Isachenko, Daria, </w:t>
      </w:r>
      <w:r w:rsidRPr="00C6156F">
        <w:rPr>
          <w:rFonts w:ascii="Times New Roman" w:hAnsi="Times New Roman" w:cs="Times New Roman"/>
        </w:rPr>
        <w:t xml:space="preserve">and Göran Swistek. The Black Sea as Mare Clausum: Turkey’s Special Role in the Regional Security Architecture. SWP Comment 33/2023. Berlin: Stiftung Wissenschaft und Politik, June 2023. </w:t>
      </w:r>
      <w:hyperlink r:id="rId10" w:history="1">
        <w:r w:rsidR="00E41297" w:rsidRPr="00EF5E5E">
          <w:rPr>
            <w:rStyle w:val="Hyperlink"/>
            <w:rFonts w:ascii="Times New Roman" w:hAnsi="Times New Roman" w:cs="Times New Roman"/>
          </w:rPr>
          <w:t>https://doi.org/10.18449/2023C33</w:t>
        </w:r>
      </w:hyperlink>
      <w:r w:rsidRPr="00C6156F">
        <w:rPr>
          <w:rFonts w:ascii="Times New Roman" w:hAnsi="Times New Roman" w:cs="Times New Roman"/>
        </w:rPr>
        <w:t>.</w:t>
      </w:r>
    </w:p>
    <w:p w14:paraId="52265BAF" w14:textId="77777777" w:rsidR="00E41297" w:rsidRPr="00C6156F" w:rsidRDefault="00E41297" w:rsidP="00E41297">
      <w:pPr>
        <w:pStyle w:val="ListNumber"/>
        <w:ind w:left="360"/>
        <w:rPr>
          <w:rFonts w:ascii="Times New Roman" w:hAnsi="Times New Roman" w:cs="Times New Roman"/>
        </w:rPr>
      </w:pPr>
    </w:p>
    <w:p w14:paraId="2498233D" w14:textId="77777777" w:rsidR="00725110" w:rsidRPr="00C6156F" w:rsidRDefault="00497432" w:rsidP="00E41297">
      <w:pPr>
        <w:pStyle w:val="ListNumber"/>
        <w:numPr>
          <w:ilvl w:val="0"/>
          <w:numId w:val="27"/>
        </w:numPr>
        <w:rPr>
          <w:rFonts w:ascii="Times New Roman" w:hAnsi="Times New Roman" w:cs="Times New Roman"/>
        </w:rPr>
      </w:pPr>
      <w:r w:rsidRPr="00C6156F">
        <w:rPr>
          <w:rFonts w:ascii="Times New Roman" w:hAnsi="Times New Roman" w:cs="Times New Roman"/>
        </w:rPr>
        <w:t>Hamilton, Daniel S., and Angela Stent. Russia’s Intentions and Actions in the Black Sea. Final Report. Transatlantic Leadership Network, May 30, 2025.</w:t>
      </w:r>
    </w:p>
    <w:p w14:paraId="7B8CACC1" w14:textId="77777777" w:rsidR="00725110" w:rsidRPr="00C6156F" w:rsidRDefault="00497432">
      <w:pPr>
        <w:pStyle w:val="Heading2"/>
        <w:rPr>
          <w:rFonts w:ascii="Times New Roman" w:hAnsi="Times New Roman" w:cs="Times New Roman"/>
        </w:rPr>
      </w:pPr>
      <w:r w:rsidRPr="00C6156F">
        <w:rPr>
          <w:rFonts w:ascii="Times New Roman" w:hAnsi="Times New Roman" w:cs="Times New Roman"/>
        </w:rPr>
        <w:t>Week 6 — The Caucasus: War, Corridors, and Regional Order</w:t>
      </w:r>
    </w:p>
    <w:p w14:paraId="5ECC60E5" w14:textId="77777777" w:rsidR="00E41297" w:rsidRDefault="00E41297" w:rsidP="00E41297">
      <w:pPr>
        <w:pStyle w:val="ListNumber"/>
        <w:rPr>
          <w:rFonts w:ascii="Times New Roman" w:hAnsi="Times New Roman" w:cs="Times New Roman"/>
        </w:rPr>
      </w:pPr>
    </w:p>
    <w:p w14:paraId="61AE29E6" w14:textId="77777777" w:rsidR="00725110" w:rsidRPr="00C6156F" w:rsidRDefault="00497432" w:rsidP="00E41297">
      <w:pPr>
        <w:pStyle w:val="ListNumber"/>
        <w:numPr>
          <w:ilvl w:val="0"/>
          <w:numId w:val="28"/>
        </w:numPr>
        <w:rPr>
          <w:rFonts w:ascii="Times New Roman" w:hAnsi="Times New Roman" w:cs="Times New Roman"/>
        </w:rPr>
      </w:pPr>
      <w:r w:rsidRPr="00C6156F">
        <w:rPr>
          <w:rFonts w:ascii="Times New Roman" w:hAnsi="Times New Roman" w:cs="Times New Roman"/>
        </w:rPr>
        <w:t>Broers, Laurence. “Seeing Beyond</w:t>
      </w:r>
      <w:r w:rsidRPr="00C6156F">
        <w:rPr>
          <w:rFonts w:ascii="Times New Roman" w:hAnsi="Times New Roman" w:cs="Times New Roman"/>
        </w:rPr>
        <w:t xml:space="preserve"> Victory: Azerbaijan’s Pathways After the Second Karabakh War.” Baku Dialogues 4, no. 3 (Spring 2021).</w:t>
      </w:r>
    </w:p>
    <w:p w14:paraId="718A4E4B" w14:textId="77777777" w:rsidR="00E41297" w:rsidRDefault="00E41297">
      <w:pPr>
        <w:pStyle w:val="ListNumber"/>
        <w:rPr>
          <w:rFonts w:ascii="Times New Roman" w:hAnsi="Times New Roman" w:cs="Times New Roman"/>
        </w:rPr>
      </w:pPr>
    </w:p>
    <w:p w14:paraId="61EA891B" w14:textId="77777777" w:rsidR="00725110" w:rsidRPr="00C6156F" w:rsidRDefault="00497432" w:rsidP="00E41297">
      <w:pPr>
        <w:pStyle w:val="ListNumber"/>
        <w:numPr>
          <w:ilvl w:val="0"/>
          <w:numId w:val="28"/>
        </w:numPr>
        <w:rPr>
          <w:rFonts w:ascii="Times New Roman" w:hAnsi="Times New Roman" w:cs="Times New Roman"/>
        </w:rPr>
      </w:pPr>
      <w:r w:rsidRPr="00C6156F">
        <w:rPr>
          <w:rFonts w:ascii="Times New Roman" w:hAnsi="Times New Roman" w:cs="Times New Roman"/>
        </w:rPr>
        <w:t>İşçi, Onur. “From Karabakh to Connectivity: The Zangezur Concept and the Remaking of Power in the South Caucasus.” Baku Dialogues 9, no. 2 (Winter 2025–</w:t>
      </w:r>
      <w:r w:rsidRPr="00C6156F">
        <w:rPr>
          <w:rFonts w:ascii="Times New Roman" w:hAnsi="Times New Roman" w:cs="Times New Roman"/>
        </w:rPr>
        <w:t>2026): 46–62. https://doi.org/10.60119/OLCI8261.</w:t>
      </w:r>
    </w:p>
    <w:p w14:paraId="7D9AC65E" w14:textId="77777777" w:rsidR="00E41297" w:rsidRDefault="00E41297">
      <w:pPr>
        <w:pStyle w:val="Heading2"/>
        <w:rPr>
          <w:rFonts w:ascii="Times New Roman" w:hAnsi="Times New Roman" w:cs="Times New Roman"/>
        </w:rPr>
      </w:pPr>
    </w:p>
    <w:p w14:paraId="35B90420" w14:textId="77777777" w:rsidR="00BC5C04" w:rsidRDefault="00BC5C04">
      <w:pPr>
        <w:pStyle w:val="Heading2"/>
        <w:rPr>
          <w:rFonts w:ascii="Times New Roman" w:hAnsi="Times New Roman" w:cs="Times New Roman"/>
        </w:rPr>
      </w:pPr>
    </w:p>
    <w:p w14:paraId="15E022C2" w14:textId="77777777" w:rsidR="00725110" w:rsidRPr="00C6156F" w:rsidRDefault="00497432">
      <w:pPr>
        <w:pStyle w:val="Heading2"/>
        <w:rPr>
          <w:rFonts w:ascii="Times New Roman" w:hAnsi="Times New Roman" w:cs="Times New Roman"/>
        </w:rPr>
      </w:pPr>
      <w:r w:rsidRPr="00C6156F">
        <w:rPr>
          <w:rFonts w:ascii="Times New Roman" w:hAnsi="Times New Roman" w:cs="Times New Roman"/>
        </w:rPr>
        <w:t>Week 7 — Eurasia: Central Asia, Connectivity, and Energy</w:t>
      </w:r>
    </w:p>
    <w:p w14:paraId="52A22BDD" w14:textId="77777777" w:rsidR="00E41297" w:rsidRDefault="00E41297" w:rsidP="00E41297">
      <w:pPr>
        <w:pStyle w:val="ListNumber"/>
        <w:rPr>
          <w:rFonts w:ascii="Times New Roman" w:hAnsi="Times New Roman" w:cs="Times New Roman"/>
        </w:rPr>
      </w:pPr>
    </w:p>
    <w:p w14:paraId="3279B0C0" w14:textId="77777777" w:rsidR="00725110" w:rsidRPr="00C6156F" w:rsidRDefault="00497432" w:rsidP="00E41297">
      <w:pPr>
        <w:pStyle w:val="ListNumber"/>
        <w:numPr>
          <w:ilvl w:val="0"/>
          <w:numId w:val="30"/>
        </w:numPr>
        <w:rPr>
          <w:rFonts w:ascii="Times New Roman" w:hAnsi="Times New Roman" w:cs="Times New Roman"/>
        </w:rPr>
      </w:pPr>
      <w:r w:rsidRPr="00C6156F">
        <w:rPr>
          <w:rFonts w:ascii="Times New Roman" w:hAnsi="Times New Roman" w:cs="Times New Roman"/>
        </w:rPr>
        <w:t>Isachenko, Daria. Turkey’s Turns to Central Asia: Learning by Doing. SWP Comment 49/2025. Berlin: Stiftung Wissenschaft und Politik, November 2025.</w:t>
      </w:r>
      <w:r w:rsidRPr="00C6156F">
        <w:rPr>
          <w:rFonts w:ascii="Times New Roman" w:hAnsi="Times New Roman" w:cs="Times New Roman"/>
        </w:rPr>
        <w:t xml:space="preserve"> https://doi.org/10.18449/2025C49.</w:t>
      </w:r>
    </w:p>
    <w:p w14:paraId="017E8C12" w14:textId="77777777" w:rsidR="00E41297" w:rsidRDefault="00E41297">
      <w:pPr>
        <w:pStyle w:val="ListNumber"/>
        <w:rPr>
          <w:rFonts w:ascii="Times New Roman" w:hAnsi="Times New Roman" w:cs="Times New Roman"/>
        </w:rPr>
      </w:pPr>
    </w:p>
    <w:p w14:paraId="6ED04B9A" w14:textId="77777777" w:rsidR="00725110" w:rsidRPr="00C6156F" w:rsidRDefault="00497432" w:rsidP="00E41297">
      <w:pPr>
        <w:pStyle w:val="ListNumber"/>
        <w:numPr>
          <w:ilvl w:val="0"/>
          <w:numId w:val="30"/>
        </w:numPr>
        <w:rPr>
          <w:rFonts w:ascii="Times New Roman" w:hAnsi="Times New Roman" w:cs="Times New Roman"/>
        </w:rPr>
      </w:pPr>
      <w:proofErr w:type="spellStart"/>
      <w:r w:rsidRPr="00C6156F">
        <w:rPr>
          <w:rFonts w:ascii="Times New Roman" w:hAnsi="Times New Roman" w:cs="Times New Roman"/>
        </w:rPr>
        <w:t>Austvik</w:t>
      </w:r>
      <w:proofErr w:type="spellEnd"/>
      <w:r w:rsidRPr="00C6156F">
        <w:rPr>
          <w:rFonts w:ascii="Times New Roman" w:hAnsi="Times New Roman" w:cs="Times New Roman"/>
        </w:rPr>
        <w:t xml:space="preserve">, </w:t>
      </w:r>
      <w:r w:rsidR="008D5806">
        <w:rPr>
          <w:rFonts w:ascii="Times New Roman" w:hAnsi="Times New Roman" w:cs="Times New Roman"/>
        </w:rPr>
        <w:t>Ole Gunnar</w:t>
      </w:r>
      <w:r w:rsidRPr="00C6156F">
        <w:rPr>
          <w:rFonts w:ascii="Times New Roman" w:hAnsi="Times New Roman" w:cs="Times New Roman"/>
        </w:rPr>
        <w:t>, and Gulmira Rzayeva. “Turkey in the Geopolitics of Natural Gas.” Energy Policy 107 (2017): 539–547.</w:t>
      </w:r>
    </w:p>
    <w:p w14:paraId="47F15493" w14:textId="77777777" w:rsidR="00725110" w:rsidRPr="00C6156F" w:rsidRDefault="00497432">
      <w:pPr>
        <w:pStyle w:val="Heading2"/>
        <w:rPr>
          <w:rFonts w:ascii="Times New Roman" w:hAnsi="Times New Roman" w:cs="Times New Roman"/>
        </w:rPr>
      </w:pPr>
      <w:r w:rsidRPr="00C6156F">
        <w:rPr>
          <w:rFonts w:ascii="Times New Roman" w:hAnsi="Times New Roman" w:cs="Times New Roman"/>
        </w:rPr>
        <w:t>Week 8 — Turkey, the United States, and NATO</w:t>
      </w:r>
    </w:p>
    <w:p w14:paraId="10465390" w14:textId="77777777" w:rsidR="00E41297" w:rsidRDefault="00E41297" w:rsidP="00E41297">
      <w:pPr>
        <w:pStyle w:val="ListNumber"/>
        <w:rPr>
          <w:rFonts w:ascii="Times New Roman" w:hAnsi="Times New Roman" w:cs="Times New Roman"/>
        </w:rPr>
      </w:pPr>
    </w:p>
    <w:p w14:paraId="75006BB7" w14:textId="77777777" w:rsidR="00725110" w:rsidRPr="00C6156F" w:rsidRDefault="00497432" w:rsidP="00E41297">
      <w:pPr>
        <w:pStyle w:val="ListNumber"/>
        <w:numPr>
          <w:ilvl w:val="0"/>
          <w:numId w:val="31"/>
        </w:numPr>
        <w:rPr>
          <w:rFonts w:ascii="Times New Roman" w:hAnsi="Times New Roman" w:cs="Times New Roman"/>
        </w:rPr>
      </w:pPr>
      <w:r w:rsidRPr="00C6156F">
        <w:rPr>
          <w:rFonts w:ascii="Times New Roman" w:hAnsi="Times New Roman" w:cs="Times New Roman"/>
        </w:rPr>
        <w:t xml:space="preserve">Martin, Lenore G. “Challenging Friends: Türkiye–U.S. </w:t>
      </w:r>
      <w:r w:rsidRPr="00C6156F">
        <w:rPr>
          <w:rFonts w:ascii="Times New Roman" w:hAnsi="Times New Roman" w:cs="Times New Roman"/>
        </w:rPr>
        <w:t>Relations.” All Azimuth 14, no. 1 (2025): 3–19. https://doi.org/10.20991/allazimuth.1532722.</w:t>
      </w:r>
    </w:p>
    <w:p w14:paraId="2C31325C" w14:textId="77777777" w:rsidR="00E41297" w:rsidRDefault="00E41297">
      <w:pPr>
        <w:pStyle w:val="ListNumber"/>
        <w:rPr>
          <w:rFonts w:ascii="Times New Roman" w:hAnsi="Times New Roman" w:cs="Times New Roman"/>
        </w:rPr>
      </w:pPr>
    </w:p>
    <w:p w14:paraId="7665B608" w14:textId="77777777" w:rsidR="00725110" w:rsidRPr="00C6156F" w:rsidRDefault="00497432" w:rsidP="00E41297">
      <w:pPr>
        <w:pStyle w:val="ListNumber"/>
        <w:numPr>
          <w:ilvl w:val="0"/>
          <w:numId w:val="31"/>
        </w:numPr>
        <w:rPr>
          <w:rFonts w:ascii="Times New Roman" w:hAnsi="Times New Roman" w:cs="Times New Roman"/>
        </w:rPr>
      </w:pPr>
      <w:r w:rsidRPr="00C6156F">
        <w:rPr>
          <w:rFonts w:ascii="Times New Roman" w:hAnsi="Times New Roman" w:cs="Times New Roman"/>
        </w:rPr>
        <w:t xml:space="preserve">Abrami, Samuele Carlo Ayrton. What’s Up with U.S.–Turkey Relations? Between International Turmoil and Trump 2.0. IPC–Mercator Analysis. Istanbul: Istanbul Policy </w:t>
      </w:r>
      <w:r w:rsidRPr="00C6156F">
        <w:rPr>
          <w:rFonts w:ascii="Times New Roman" w:hAnsi="Times New Roman" w:cs="Times New Roman"/>
        </w:rPr>
        <w:t>Center, January 2025.</w:t>
      </w:r>
    </w:p>
    <w:p w14:paraId="37053D1B" w14:textId="77777777" w:rsidR="00725110" w:rsidRPr="00C6156F" w:rsidRDefault="00497432">
      <w:pPr>
        <w:pStyle w:val="Heading2"/>
        <w:rPr>
          <w:rFonts w:ascii="Times New Roman" w:hAnsi="Times New Roman" w:cs="Times New Roman"/>
        </w:rPr>
      </w:pPr>
      <w:r w:rsidRPr="00C6156F">
        <w:rPr>
          <w:rFonts w:ascii="Times New Roman" w:hAnsi="Times New Roman" w:cs="Times New Roman"/>
        </w:rPr>
        <w:t>Week 9 — Turkey and the European Union</w:t>
      </w:r>
    </w:p>
    <w:p w14:paraId="5F05F35F" w14:textId="77777777" w:rsidR="00C6156F" w:rsidRPr="00C6156F" w:rsidRDefault="00C6156F" w:rsidP="00C6156F">
      <w:pPr>
        <w:pStyle w:val="Heading2"/>
        <w:numPr>
          <w:ilvl w:val="0"/>
          <w:numId w:val="22"/>
        </w:numPr>
        <w:rPr>
          <w:rFonts w:ascii="Times New Roman" w:eastAsiaTheme="minorEastAsia" w:hAnsi="Times New Roman" w:cs="Times New Roman"/>
          <w:b w:val="0"/>
          <w:bCs w:val="0"/>
          <w:color w:val="auto"/>
          <w:sz w:val="21"/>
          <w:szCs w:val="22"/>
        </w:rPr>
      </w:pPr>
      <w:proofErr w:type="spellStart"/>
      <w:r w:rsidRPr="00C6156F">
        <w:rPr>
          <w:rFonts w:ascii="Times New Roman" w:eastAsiaTheme="minorEastAsia" w:hAnsi="Times New Roman" w:cs="Times New Roman"/>
          <w:b w:val="0"/>
          <w:bCs w:val="0"/>
          <w:color w:val="auto"/>
          <w:sz w:val="21"/>
          <w:szCs w:val="22"/>
        </w:rPr>
        <w:t>Müftüler-Baç</w:t>
      </w:r>
      <w:proofErr w:type="spellEnd"/>
      <w:r w:rsidRPr="00C6156F">
        <w:rPr>
          <w:rFonts w:ascii="Times New Roman" w:eastAsiaTheme="minorEastAsia" w:hAnsi="Times New Roman" w:cs="Times New Roman"/>
          <w:b w:val="0"/>
          <w:bCs w:val="0"/>
          <w:color w:val="auto"/>
          <w:sz w:val="21"/>
          <w:szCs w:val="22"/>
        </w:rPr>
        <w:t>, Meltem. “A Fragile Relationship: Turkey and the European Union Moving Beyond Membership with External Differentiated Integration.” West European Politics (2025): 1186–1215. https://doi.org/10.1080/01402382.2024.2442870.</w:t>
      </w:r>
    </w:p>
    <w:p w14:paraId="0256770E" w14:textId="77777777" w:rsidR="00C6156F" w:rsidRDefault="00C6156F" w:rsidP="00C6156F">
      <w:pPr>
        <w:pStyle w:val="Heading2"/>
        <w:numPr>
          <w:ilvl w:val="0"/>
          <w:numId w:val="22"/>
        </w:numPr>
        <w:rPr>
          <w:rFonts w:ascii="Times New Roman" w:eastAsiaTheme="minorEastAsia" w:hAnsi="Times New Roman" w:cs="Times New Roman"/>
          <w:b w:val="0"/>
          <w:bCs w:val="0"/>
          <w:color w:val="auto"/>
          <w:sz w:val="21"/>
          <w:szCs w:val="22"/>
        </w:rPr>
      </w:pPr>
      <w:r w:rsidRPr="00C6156F">
        <w:rPr>
          <w:rFonts w:ascii="Times New Roman" w:eastAsiaTheme="minorEastAsia" w:hAnsi="Times New Roman" w:cs="Times New Roman"/>
          <w:b w:val="0"/>
          <w:bCs w:val="0"/>
          <w:color w:val="auto"/>
          <w:sz w:val="21"/>
          <w:szCs w:val="22"/>
        </w:rPr>
        <w:t xml:space="preserve">Sotiriou, Stylianos A. “When Tension Borders Aggression: Turkey, the European Union, and the Politics of Interdependence.” Southeast European and Black Sea Studies (2025). </w:t>
      </w:r>
      <w:hyperlink r:id="rId11" w:history="1">
        <w:r w:rsidRPr="00EF5E5E">
          <w:rPr>
            <w:rStyle w:val="Hyperlink"/>
            <w:rFonts w:ascii="Times New Roman" w:eastAsiaTheme="minorEastAsia" w:hAnsi="Times New Roman" w:cs="Times New Roman"/>
            <w:b w:val="0"/>
            <w:bCs w:val="0"/>
            <w:sz w:val="21"/>
            <w:szCs w:val="22"/>
          </w:rPr>
          <w:t>https://doi.org/10.1080/14683857.2025.2494371</w:t>
        </w:r>
      </w:hyperlink>
      <w:r w:rsidRPr="00C6156F">
        <w:rPr>
          <w:rFonts w:ascii="Times New Roman" w:eastAsiaTheme="minorEastAsia" w:hAnsi="Times New Roman" w:cs="Times New Roman"/>
          <w:b w:val="0"/>
          <w:bCs w:val="0"/>
          <w:color w:val="auto"/>
          <w:sz w:val="21"/>
          <w:szCs w:val="22"/>
        </w:rPr>
        <w:t>.</w:t>
      </w:r>
    </w:p>
    <w:p w14:paraId="4A220B02" w14:textId="77777777" w:rsidR="00725110" w:rsidRPr="00C6156F" w:rsidRDefault="00497432" w:rsidP="00C6156F">
      <w:pPr>
        <w:pStyle w:val="Heading2"/>
        <w:rPr>
          <w:rFonts w:ascii="Times New Roman" w:hAnsi="Times New Roman" w:cs="Times New Roman"/>
        </w:rPr>
      </w:pPr>
      <w:r w:rsidRPr="00C6156F">
        <w:rPr>
          <w:rFonts w:ascii="Times New Roman" w:hAnsi="Times New Roman" w:cs="Times New Roman"/>
        </w:rPr>
        <w:t>Week 10 — Cyprus and the Eastern Mediterranean</w:t>
      </w:r>
    </w:p>
    <w:p w14:paraId="170D2B0A" w14:textId="77777777" w:rsidR="00E41297" w:rsidRDefault="00E41297" w:rsidP="00E41297">
      <w:pPr>
        <w:pStyle w:val="ListNumber"/>
        <w:rPr>
          <w:rFonts w:ascii="Times New Roman" w:hAnsi="Times New Roman" w:cs="Times New Roman"/>
        </w:rPr>
      </w:pPr>
    </w:p>
    <w:p w14:paraId="6F38EAE8" w14:textId="77777777" w:rsidR="00725110" w:rsidRPr="00C6156F" w:rsidRDefault="00497432" w:rsidP="00E41297">
      <w:pPr>
        <w:pStyle w:val="ListNumber"/>
        <w:numPr>
          <w:ilvl w:val="0"/>
          <w:numId w:val="32"/>
        </w:numPr>
        <w:rPr>
          <w:rFonts w:ascii="Times New Roman" w:hAnsi="Times New Roman" w:cs="Times New Roman"/>
        </w:rPr>
      </w:pPr>
      <w:r w:rsidRPr="00C6156F">
        <w:rPr>
          <w:rFonts w:ascii="Times New Roman" w:hAnsi="Times New Roman" w:cs="Times New Roman"/>
        </w:rPr>
        <w:t>Eilat, O. “Water Is Thicker Than Gas: Turkey, UNCLOS, and the Eastern Mediterranean Gas Dispute.” Mar</w:t>
      </w:r>
      <w:r w:rsidRPr="00C6156F">
        <w:rPr>
          <w:rFonts w:ascii="Times New Roman" w:hAnsi="Times New Roman" w:cs="Times New Roman"/>
        </w:rPr>
        <w:t>itime Policy &amp; Law (2025). [Bibliographic details to be confirmed before distribution.]</w:t>
      </w:r>
    </w:p>
    <w:p w14:paraId="7598C309" w14:textId="77777777" w:rsidR="00E41297" w:rsidRDefault="00E41297">
      <w:pPr>
        <w:pStyle w:val="ListNumber"/>
        <w:rPr>
          <w:rFonts w:ascii="Times New Roman" w:hAnsi="Times New Roman" w:cs="Times New Roman"/>
        </w:rPr>
      </w:pPr>
    </w:p>
    <w:p w14:paraId="007F1ABF" w14:textId="77777777" w:rsidR="00725110" w:rsidRPr="00C6156F" w:rsidRDefault="00497432" w:rsidP="00E41297">
      <w:pPr>
        <w:pStyle w:val="ListNumber"/>
        <w:numPr>
          <w:ilvl w:val="0"/>
          <w:numId w:val="32"/>
        </w:numPr>
        <w:rPr>
          <w:rFonts w:ascii="Times New Roman" w:hAnsi="Times New Roman" w:cs="Times New Roman"/>
        </w:rPr>
      </w:pPr>
      <w:r w:rsidRPr="00C6156F">
        <w:rPr>
          <w:rFonts w:ascii="Times New Roman" w:hAnsi="Times New Roman" w:cs="Times New Roman"/>
        </w:rPr>
        <w:t>Dilek, Esra. Turkey’s Foreign Policy in the Eastern Mediterranean: Peacemaking in Cyprus at a Crossroads. IPC–Mercator Analysis. Istanbul: Istanbul Policy Center, Marc</w:t>
      </w:r>
      <w:r w:rsidRPr="00C6156F">
        <w:rPr>
          <w:rFonts w:ascii="Times New Roman" w:hAnsi="Times New Roman" w:cs="Times New Roman"/>
        </w:rPr>
        <w:t>h 2023.</w:t>
      </w:r>
    </w:p>
    <w:p w14:paraId="2731C936" w14:textId="77777777" w:rsidR="00725110" w:rsidRPr="00C6156F" w:rsidRDefault="00497432">
      <w:pPr>
        <w:pStyle w:val="Heading2"/>
        <w:rPr>
          <w:rFonts w:ascii="Times New Roman" w:hAnsi="Times New Roman" w:cs="Times New Roman"/>
        </w:rPr>
      </w:pPr>
      <w:r w:rsidRPr="00C6156F">
        <w:rPr>
          <w:rFonts w:ascii="Times New Roman" w:hAnsi="Times New Roman" w:cs="Times New Roman"/>
        </w:rPr>
        <w:t>Week 11 — Turkey and the Middle East</w:t>
      </w:r>
    </w:p>
    <w:p w14:paraId="3C00DC75" w14:textId="77777777" w:rsidR="00E41297" w:rsidRDefault="00E41297" w:rsidP="00E41297">
      <w:pPr>
        <w:pStyle w:val="ListNumber"/>
        <w:ind w:left="720"/>
        <w:rPr>
          <w:rFonts w:ascii="Times New Roman" w:hAnsi="Times New Roman" w:cs="Times New Roman"/>
        </w:rPr>
      </w:pPr>
    </w:p>
    <w:p w14:paraId="0816508F" w14:textId="77777777" w:rsidR="004E54DD" w:rsidRDefault="004E54DD" w:rsidP="004E54DD">
      <w:pPr>
        <w:pStyle w:val="ListParagraph"/>
        <w:numPr>
          <w:ilvl w:val="0"/>
          <w:numId w:val="41"/>
        </w:numPr>
        <w:spacing w:after="200"/>
        <w:rPr>
          <w:rFonts w:ascii="Times New Roman" w:hAnsi="Times New Roman" w:cs="Times New Roman"/>
        </w:rPr>
      </w:pPr>
      <w:r w:rsidRPr="004E54DD">
        <w:rPr>
          <w:rFonts w:ascii="Times New Roman" w:hAnsi="Times New Roman" w:cs="Times New Roman"/>
        </w:rPr>
        <w:t xml:space="preserve">Adar, Sinem. 2024. Turkey in MENA, MENA in Turkey: Reasons for Popularity, Limits to Influence. SWP Research Paper 3. Berlin: Stiftung Wissenschaft und Politik. </w:t>
      </w:r>
      <w:hyperlink r:id="rId12" w:history="1">
        <w:r w:rsidRPr="00EF5E5E">
          <w:rPr>
            <w:rStyle w:val="Hyperlink"/>
            <w:rFonts w:ascii="Times New Roman" w:hAnsi="Times New Roman" w:cs="Times New Roman"/>
          </w:rPr>
          <w:t>https://doi.org/10.18449/2024RP03</w:t>
        </w:r>
      </w:hyperlink>
      <w:r w:rsidRPr="004E54DD">
        <w:rPr>
          <w:rFonts w:ascii="Times New Roman" w:hAnsi="Times New Roman" w:cs="Times New Roman"/>
        </w:rPr>
        <w:t>.</w:t>
      </w:r>
    </w:p>
    <w:p w14:paraId="5B1D23DD" w14:textId="77777777" w:rsidR="004E54DD" w:rsidRPr="004E54DD" w:rsidRDefault="004E54DD" w:rsidP="004E54DD">
      <w:pPr>
        <w:pStyle w:val="ListParagraph"/>
        <w:spacing w:after="200"/>
        <w:rPr>
          <w:rFonts w:ascii="Times New Roman" w:hAnsi="Times New Roman" w:cs="Times New Roman"/>
        </w:rPr>
      </w:pPr>
    </w:p>
    <w:p w14:paraId="07F5ABAE" w14:textId="77777777" w:rsidR="004E54DD" w:rsidRDefault="004E54DD" w:rsidP="004E54DD">
      <w:pPr>
        <w:pStyle w:val="ListParagraph"/>
        <w:numPr>
          <w:ilvl w:val="0"/>
          <w:numId w:val="41"/>
        </w:numPr>
        <w:spacing w:after="200"/>
        <w:rPr>
          <w:rFonts w:ascii="Times New Roman" w:hAnsi="Times New Roman" w:cs="Times New Roman"/>
        </w:rPr>
      </w:pPr>
      <w:r w:rsidRPr="004E54DD">
        <w:rPr>
          <w:rFonts w:ascii="Times New Roman" w:hAnsi="Times New Roman" w:cs="Times New Roman"/>
        </w:rPr>
        <w:t xml:space="preserve">Çevik, Salim. 2024. Turkey’s Reconciliation Efforts in the Middle East: Ambitions and Constraints in a Changing Regional Order. SWP Research Paper 15. Berlin: Stiftung Wissenschaft und Politik. </w:t>
      </w:r>
      <w:hyperlink r:id="rId13" w:history="1">
        <w:r w:rsidRPr="00EF5E5E">
          <w:rPr>
            <w:rStyle w:val="Hyperlink"/>
            <w:rFonts w:ascii="Times New Roman" w:hAnsi="Times New Roman" w:cs="Times New Roman"/>
          </w:rPr>
          <w:t>https://doi.org/10.18449/2024RP15</w:t>
        </w:r>
      </w:hyperlink>
      <w:r w:rsidRPr="004E54DD">
        <w:rPr>
          <w:rFonts w:ascii="Times New Roman" w:hAnsi="Times New Roman" w:cs="Times New Roman"/>
        </w:rPr>
        <w:t>.</w:t>
      </w:r>
    </w:p>
    <w:p w14:paraId="76C7F63E" w14:textId="77777777" w:rsidR="004E54DD" w:rsidRPr="004E54DD" w:rsidRDefault="004E54DD" w:rsidP="004E54DD">
      <w:pPr>
        <w:pStyle w:val="ListParagraph"/>
        <w:rPr>
          <w:rFonts w:ascii="Times New Roman" w:hAnsi="Times New Roman" w:cs="Times New Roman"/>
        </w:rPr>
      </w:pPr>
    </w:p>
    <w:p w14:paraId="703EA607" w14:textId="77777777" w:rsidR="004E54DD" w:rsidRDefault="004E54DD" w:rsidP="004E54DD">
      <w:pPr>
        <w:pStyle w:val="ListParagraph"/>
        <w:numPr>
          <w:ilvl w:val="0"/>
          <w:numId w:val="41"/>
        </w:numPr>
        <w:spacing w:after="200"/>
        <w:rPr>
          <w:rFonts w:ascii="Times New Roman" w:hAnsi="Times New Roman" w:cs="Times New Roman"/>
        </w:rPr>
      </w:pPr>
      <w:proofErr w:type="spellStart"/>
      <w:r w:rsidRPr="004E54DD">
        <w:rPr>
          <w:rFonts w:ascii="Times New Roman" w:hAnsi="Times New Roman" w:cs="Times New Roman"/>
        </w:rPr>
        <w:t>Dalacoura</w:t>
      </w:r>
      <w:proofErr w:type="spellEnd"/>
      <w:r w:rsidRPr="004E54DD">
        <w:rPr>
          <w:rFonts w:ascii="Times New Roman" w:hAnsi="Times New Roman" w:cs="Times New Roman"/>
        </w:rPr>
        <w:t xml:space="preserve">, Katerina. 2021. “Turkish Foreign Policy in the Middle East: Power Projection and Post-Ideological Politics.” International Affairs 97 (4): 1125–1142. </w:t>
      </w:r>
      <w:hyperlink r:id="rId14" w:history="1">
        <w:r w:rsidRPr="00EF5E5E">
          <w:rPr>
            <w:rStyle w:val="Hyperlink"/>
            <w:rFonts w:ascii="Times New Roman" w:hAnsi="Times New Roman" w:cs="Times New Roman"/>
          </w:rPr>
          <w:t>https://doi.org/10.1093/ia/iiab082</w:t>
        </w:r>
      </w:hyperlink>
      <w:r w:rsidRPr="004E54DD">
        <w:rPr>
          <w:rFonts w:ascii="Times New Roman" w:hAnsi="Times New Roman" w:cs="Times New Roman"/>
        </w:rPr>
        <w:t>.</w:t>
      </w:r>
    </w:p>
    <w:p w14:paraId="2E743DF9" w14:textId="77777777" w:rsidR="004E54DD" w:rsidRPr="004E54DD" w:rsidRDefault="004E54DD" w:rsidP="004E54DD">
      <w:pPr>
        <w:pStyle w:val="ListParagraph"/>
        <w:rPr>
          <w:rFonts w:ascii="Times New Roman" w:hAnsi="Times New Roman" w:cs="Times New Roman"/>
        </w:rPr>
      </w:pPr>
    </w:p>
    <w:p w14:paraId="3C7A54CC" w14:textId="77777777" w:rsidR="00BC5C04" w:rsidRPr="004E54DD" w:rsidRDefault="004E54DD" w:rsidP="004E54DD">
      <w:pPr>
        <w:pStyle w:val="ListParagraph"/>
        <w:numPr>
          <w:ilvl w:val="0"/>
          <w:numId w:val="41"/>
        </w:numPr>
        <w:spacing w:after="200"/>
        <w:rPr>
          <w:rFonts w:ascii="Times New Roman" w:hAnsi="Times New Roman" w:cs="Times New Roman"/>
        </w:rPr>
      </w:pPr>
      <w:r w:rsidRPr="004E54DD">
        <w:rPr>
          <w:rFonts w:ascii="Times New Roman" w:hAnsi="Times New Roman" w:cs="Times New Roman"/>
        </w:rPr>
        <w:lastRenderedPageBreak/>
        <w:t>Stein, Ewan. 2025. “Egyptian Responses to Turkey’s MENA Policy from the Arab Spring to the Gaza Crisis: Sub-Imperialisms and Regional Order.” International Politics. https://doi.org/10.1057/s41311-025-00699-5.</w:t>
      </w:r>
    </w:p>
    <w:p w14:paraId="3C13D9B2" w14:textId="77777777" w:rsidR="00725110" w:rsidRPr="00C6156F" w:rsidRDefault="00497432">
      <w:pPr>
        <w:pStyle w:val="Heading2"/>
        <w:rPr>
          <w:rFonts w:ascii="Times New Roman" w:hAnsi="Times New Roman" w:cs="Times New Roman"/>
        </w:rPr>
      </w:pPr>
      <w:r w:rsidRPr="00C6156F">
        <w:rPr>
          <w:rFonts w:ascii="Times New Roman" w:hAnsi="Times New Roman" w:cs="Times New Roman"/>
        </w:rPr>
        <w:t>Week 12 — Turkey and China in the Asia-Pacific Century</w:t>
      </w:r>
    </w:p>
    <w:p w14:paraId="6093555B" w14:textId="77777777" w:rsidR="00E41297" w:rsidRDefault="00E41297" w:rsidP="00E41297">
      <w:pPr>
        <w:pStyle w:val="ListNumber"/>
        <w:rPr>
          <w:rFonts w:ascii="Times New Roman" w:hAnsi="Times New Roman" w:cs="Times New Roman"/>
        </w:rPr>
      </w:pPr>
    </w:p>
    <w:p w14:paraId="0F3E8025" w14:textId="77777777" w:rsidR="00725110" w:rsidRPr="00C6156F" w:rsidRDefault="00497432" w:rsidP="00E41297">
      <w:pPr>
        <w:pStyle w:val="ListNumber"/>
        <w:numPr>
          <w:ilvl w:val="0"/>
          <w:numId w:val="34"/>
        </w:numPr>
        <w:rPr>
          <w:rFonts w:ascii="Times New Roman" w:hAnsi="Times New Roman" w:cs="Times New Roman"/>
        </w:rPr>
      </w:pPr>
      <w:proofErr w:type="spellStart"/>
      <w:r w:rsidRPr="00C6156F">
        <w:rPr>
          <w:rFonts w:ascii="Times New Roman" w:hAnsi="Times New Roman" w:cs="Times New Roman"/>
        </w:rPr>
        <w:t>Üngör</w:t>
      </w:r>
      <w:proofErr w:type="spellEnd"/>
      <w:r w:rsidRPr="00C6156F">
        <w:rPr>
          <w:rFonts w:ascii="Times New Roman" w:hAnsi="Times New Roman" w:cs="Times New Roman"/>
        </w:rPr>
        <w:t xml:space="preserve">, </w:t>
      </w:r>
      <w:proofErr w:type="spellStart"/>
      <w:r w:rsidRPr="00C6156F">
        <w:rPr>
          <w:rFonts w:ascii="Times New Roman" w:hAnsi="Times New Roman" w:cs="Times New Roman"/>
        </w:rPr>
        <w:t>Çağdaş</w:t>
      </w:r>
      <w:proofErr w:type="spellEnd"/>
      <w:r w:rsidRPr="00C6156F">
        <w:rPr>
          <w:rFonts w:ascii="Times New Roman" w:hAnsi="Times New Roman" w:cs="Times New Roman"/>
        </w:rPr>
        <w:t>. “A ‘Bridge’ Pushed to the Periphery</w:t>
      </w:r>
      <w:proofErr w:type="gramStart"/>
      <w:r w:rsidRPr="00C6156F">
        <w:rPr>
          <w:rFonts w:ascii="Times New Roman" w:hAnsi="Times New Roman" w:cs="Times New Roman"/>
        </w:rPr>
        <w:t>?:</w:t>
      </w:r>
      <w:proofErr w:type="gramEnd"/>
      <w:r w:rsidRPr="00C6156F">
        <w:rPr>
          <w:rFonts w:ascii="Times New Roman" w:hAnsi="Times New Roman" w:cs="Times New Roman"/>
        </w:rPr>
        <w:t xml:space="preserve"> Turkey’s Geopolitical Significance in the Asia-Pacific Century.” Turkish Studies 26, no. 1 (2025): 28–50. h</w:t>
      </w:r>
      <w:r w:rsidRPr="00C6156F">
        <w:rPr>
          <w:rFonts w:ascii="Times New Roman" w:hAnsi="Times New Roman" w:cs="Times New Roman"/>
        </w:rPr>
        <w:t>ttps://doi.org/10.1080/14683849.2024.2391812.</w:t>
      </w:r>
    </w:p>
    <w:p w14:paraId="6BC6B71F" w14:textId="77777777" w:rsidR="00E41297" w:rsidRDefault="00E41297">
      <w:pPr>
        <w:pStyle w:val="ListNumber"/>
        <w:rPr>
          <w:rFonts w:ascii="Times New Roman" w:hAnsi="Times New Roman" w:cs="Times New Roman"/>
        </w:rPr>
      </w:pPr>
    </w:p>
    <w:p w14:paraId="416C1C7E" w14:textId="77777777" w:rsidR="00725110" w:rsidRPr="00C6156F" w:rsidRDefault="00497432" w:rsidP="00E41297">
      <w:pPr>
        <w:pStyle w:val="ListNumber"/>
        <w:numPr>
          <w:ilvl w:val="0"/>
          <w:numId w:val="34"/>
        </w:numPr>
        <w:rPr>
          <w:rFonts w:ascii="Times New Roman" w:hAnsi="Times New Roman" w:cs="Times New Roman"/>
        </w:rPr>
      </w:pPr>
      <w:proofErr w:type="spellStart"/>
      <w:r w:rsidRPr="00C6156F">
        <w:rPr>
          <w:rFonts w:ascii="Times New Roman" w:hAnsi="Times New Roman" w:cs="Times New Roman"/>
        </w:rPr>
        <w:t>Üngör</w:t>
      </w:r>
      <w:proofErr w:type="spellEnd"/>
      <w:r w:rsidRPr="00C6156F">
        <w:rPr>
          <w:rFonts w:ascii="Times New Roman" w:hAnsi="Times New Roman" w:cs="Times New Roman"/>
        </w:rPr>
        <w:t xml:space="preserve">, </w:t>
      </w:r>
      <w:proofErr w:type="spellStart"/>
      <w:r w:rsidRPr="00C6156F">
        <w:rPr>
          <w:rFonts w:ascii="Times New Roman" w:hAnsi="Times New Roman" w:cs="Times New Roman"/>
        </w:rPr>
        <w:t>Çağdaş</w:t>
      </w:r>
      <w:proofErr w:type="spellEnd"/>
      <w:r w:rsidRPr="00C6156F">
        <w:rPr>
          <w:rFonts w:ascii="Times New Roman" w:hAnsi="Times New Roman" w:cs="Times New Roman"/>
        </w:rPr>
        <w:t>. “China and the ‘Asia-Pacific Century’ in International Politics: An Introduction.” Uluslararası İlişkiler 23, no. 90 (2026): 5–17. https://doi.org/10.33458/uidergisi.1943778.</w:t>
      </w:r>
    </w:p>
    <w:p w14:paraId="6B8DEDC1" w14:textId="77777777" w:rsidR="00725110" w:rsidRPr="00C6156F" w:rsidRDefault="00497432">
      <w:pPr>
        <w:pStyle w:val="Heading2"/>
        <w:rPr>
          <w:rFonts w:ascii="Times New Roman" w:hAnsi="Times New Roman" w:cs="Times New Roman"/>
        </w:rPr>
      </w:pPr>
      <w:r w:rsidRPr="00C6156F">
        <w:rPr>
          <w:rFonts w:ascii="Times New Roman" w:hAnsi="Times New Roman" w:cs="Times New Roman"/>
        </w:rPr>
        <w:t>Week 13 — Turkey in</w:t>
      </w:r>
      <w:r w:rsidRPr="00C6156F">
        <w:rPr>
          <w:rFonts w:ascii="Times New Roman" w:hAnsi="Times New Roman" w:cs="Times New Roman"/>
        </w:rPr>
        <w:t xml:space="preserve"> Sub-Saharan Africa: Development, Influence, and Middle-Power Ambition</w:t>
      </w:r>
    </w:p>
    <w:p w14:paraId="3EE6F91A" w14:textId="77777777" w:rsidR="00E41297" w:rsidRDefault="00E41297" w:rsidP="00E41297">
      <w:pPr>
        <w:pStyle w:val="ListNumber"/>
        <w:rPr>
          <w:rFonts w:ascii="Times New Roman" w:hAnsi="Times New Roman" w:cs="Times New Roman"/>
        </w:rPr>
      </w:pPr>
    </w:p>
    <w:p w14:paraId="3DEF3B2E" w14:textId="77777777" w:rsidR="00725110" w:rsidRPr="00C6156F" w:rsidRDefault="00497432" w:rsidP="00E41297">
      <w:pPr>
        <w:pStyle w:val="ListNumber"/>
        <w:numPr>
          <w:ilvl w:val="0"/>
          <w:numId w:val="35"/>
        </w:numPr>
        <w:rPr>
          <w:rFonts w:ascii="Times New Roman" w:hAnsi="Times New Roman" w:cs="Times New Roman"/>
        </w:rPr>
      </w:pPr>
      <w:r w:rsidRPr="00C6156F">
        <w:rPr>
          <w:rFonts w:ascii="Times New Roman" w:hAnsi="Times New Roman" w:cs="Times New Roman"/>
        </w:rPr>
        <w:t xml:space="preserve">Donelli, Federico. “The Ankara Consensus: The Significance of Turkey’s Engagement in Sub-Saharan Africa.” Global Change, Peace &amp; Security 30, no. 1 (2018): 57–76. </w:t>
      </w:r>
    </w:p>
    <w:p w14:paraId="1DBE1A4C" w14:textId="77777777" w:rsidR="00E41297" w:rsidRDefault="00E41297">
      <w:pPr>
        <w:pStyle w:val="ListNumber"/>
        <w:rPr>
          <w:rFonts w:ascii="Times New Roman" w:hAnsi="Times New Roman" w:cs="Times New Roman"/>
        </w:rPr>
      </w:pPr>
    </w:p>
    <w:p w14:paraId="21038D22" w14:textId="77777777" w:rsidR="00725110" w:rsidRPr="00C6156F" w:rsidRDefault="00497432" w:rsidP="00E41297">
      <w:pPr>
        <w:pStyle w:val="ListNumber"/>
        <w:numPr>
          <w:ilvl w:val="0"/>
          <w:numId w:val="35"/>
        </w:numPr>
        <w:rPr>
          <w:rFonts w:ascii="Times New Roman" w:hAnsi="Times New Roman" w:cs="Times New Roman"/>
        </w:rPr>
      </w:pPr>
      <w:r w:rsidRPr="00C6156F">
        <w:rPr>
          <w:rFonts w:ascii="Times New Roman" w:hAnsi="Times New Roman" w:cs="Times New Roman"/>
        </w:rPr>
        <w:t>Cannon, Brendon J.,</w:t>
      </w:r>
      <w:r w:rsidRPr="00C6156F">
        <w:rPr>
          <w:rFonts w:ascii="Times New Roman" w:hAnsi="Times New Roman" w:cs="Times New Roman"/>
        </w:rPr>
        <w:t xml:space="preserve"> and Federico Donelli. “Turkey-Africa Relations and Turkey’s National Role Conception as the Centre Country: Continuity or a Break with the Past?” Journal of Balkan and Near Eastern Studies 26, no. 3 (2024): 295–310.</w:t>
      </w:r>
    </w:p>
    <w:p w14:paraId="204A1BAF" w14:textId="77777777" w:rsidR="00725110" w:rsidRPr="00C6156F" w:rsidRDefault="00497432">
      <w:pPr>
        <w:pStyle w:val="Heading2"/>
        <w:rPr>
          <w:rFonts w:ascii="Times New Roman" w:hAnsi="Times New Roman" w:cs="Times New Roman"/>
        </w:rPr>
      </w:pPr>
      <w:r w:rsidRPr="00C6156F">
        <w:rPr>
          <w:rFonts w:ascii="Times New Roman" w:hAnsi="Times New Roman" w:cs="Times New Roman"/>
        </w:rPr>
        <w:t>Week 14 — Student Presentations</w:t>
      </w:r>
    </w:p>
    <w:p w14:paraId="5614C33E" w14:textId="77777777" w:rsidR="00E41297" w:rsidRDefault="00E41297">
      <w:pPr>
        <w:rPr>
          <w:rFonts w:ascii="Times New Roman" w:hAnsi="Times New Roman" w:cs="Times New Roman"/>
        </w:rPr>
      </w:pPr>
    </w:p>
    <w:p w14:paraId="759303FA" w14:textId="77777777" w:rsidR="00725110" w:rsidRDefault="00497432" w:rsidP="00E41297">
      <w:pPr>
        <w:pStyle w:val="ListParagraph"/>
        <w:numPr>
          <w:ilvl w:val="0"/>
          <w:numId w:val="36"/>
        </w:numPr>
        <w:rPr>
          <w:rFonts w:ascii="Times New Roman" w:hAnsi="Times New Roman" w:cs="Times New Roman"/>
        </w:rPr>
      </w:pPr>
      <w:r w:rsidRPr="00E41297">
        <w:rPr>
          <w:rFonts w:ascii="Times New Roman" w:hAnsi="Times New Roman" w:cs="Times New Roman"/>
        </w:rPr>
        <w:t>Studen</w:t>
      </w:r>
      <w:r w:rsidRPr="00E41297">
        <w:rPr>
          <w:rFonts w:ascii="Times New Roman" w:hAnsi="Times New Roman" w:cs="Times New Roman"/>
        </w:rPr>
        <w:t xml:space="preserve">ts submit a </w:t>
      </w:r>
      <w:r w:rsidR="00E41297" w:rsidRPr="00E41297">
        <w:rPr>
          <w:rFonts w:ascii="Times New Roman" w:hAnsi="Times New Roman" w:cs="Times New Roman"/>
        </w:rPr>
        <w:t>two</w:t>
      </w:r>
      <w:r w:rsidRPr="00E41297">
        <w:rPr>
          <w:rFonts w:ascii="Times New Roman" w:hAnsi="Times New Roman" w:cs="Times New Roman"/>
        </w:rPr>
        <w:t>-page abstract, detailed outline, and bibliography of the final research paper and give a 15-minute presentation followed by discussion and feedback.</w:t>
      </w:r>
    </w:p>
    <w:p w14:paraId="240C8196" w14:textId="77777777" w:rsidR="00183365" w:rsidRPr="00183365" w:rsidRDefault="00183365" w:rsidP="00183365"/>
    <w:p w14:paraId="0ED42366" w14:textId="77777777" w:rsidR="00183365" w:rsidRPr="00183365" w:rsidRDefault="00183365" w:rsidP="00183365"/>
    <w:p w14:paraId="7B5EB39A" w14:textId="77777777" w:rsidR="00183365" w:rsidRPr="00183365" w:rsidRDefault="00183365" w:rsidP="00183365"/>
    <w:p w14:paraId="7B1D19F2" w14:textId="77777777" w:rsidR="00183365" w:rsidRPr="00183365" w:rsidRDefault="00183365" w:rsidP="00183365"/>
    <w:p w14:paraId="2679549F" w14:textId="77777777" w:rsidR="00183365" w:rsidRPr="00183365" w:rsidRDefault="00183365" w:rsidP="00183365"/>
    <w:p w14:paraId="17B02D68" w14:textId="77777777" w:rsidR="00183365" w:rsidRPr="00183365" w:rsidRDefault="00183365" w:rsidP="00183365"/>
    <w:p w14:paraId="5CCAB9DC" w14:textId="77777777" w:rsidR="00183365" w:rsidRPr="00183365" w:rsidRDefault="00183365" w:rsidP="00183365"/>
    <w:p w14:paraId="684906E9" w14:textId="77777777" w:rsidR="00183365" w:rsidRPr="00183365" w:rsidRDefault="00183365" w:rsidP="00183365"/>
    <w:p w14:paraId="549AF841" w14:textId="77777777" w:rsidR="00183365" w:rsidRPr="00183365" w:rsidRDefault="00183365" w:rsidP="00183365"/>
    <w:p w14:paraId="5832A6C2" w14:textId="77777777" w:rsidR="00183365" w:rsidRPr="00183365" w:rsidRDefault="00183365" w:rsidP="00183365"/>
    <w:p w14:paraId="2A3455D1" w14:textId="77777777" w:rsidR="00183365" w:rsidRPr="00183365" w:rsidRDefault="00183365" w:rsidP="00183365">
      <w:pPr>
        <w:tabs>
          <w:tab w:val="left" w:pos="7463"/>
        </w:tabs>
      </w:pPr>
      <w:r>
        <w:tab/>
      </w:r>
    </w:p>
    <w:sectPr w:rsidR="00183365" w:rsidRPr="00183365" w:rsidSect="00034616">
      <w:headerReference w:type="default" r:id="rId15"/>
      <w:footerReference w:type="default" r:id="rId16"/>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A31089" w14:textId="77777777" w:rsidR="0065140C" w:rsidRDefault="0065140C">
      <w:pPr>
        <w:spacing w:after="0" w:line="240" w:lineRule="auto"/>
      </w:pPr>
      <w:r>
        <w:separator/>
      </w:r>
    </w:p>
  </w:endnote>
  <w:endnote w:type="continuationSeparator" w:id="0">
    <w:p w14:paraId="555C8C84" w14:textId="77777777" w:rsidR="0065140C" w:rsidRDefault="00651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87BA6" w14:textId="77777777" w:rsidR="008A195E" w:rsidRDefault="008A19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EE00D9" w14:textId="77777777" w:rsidR="0065140C" w:rsidRDefault="0065140C">
      <w:pPr>
        <w:spacing w:after="0" w:line="240" w:lineRule="auto"/>
      </w:pPr>
      <w:r>
        <w:separator/>
      </w:r>
    </w:p>
  </w:footnote>
  <w:footnote w:type="continuationSeparator" w:id="0">
    <w:p w14:paraId="43FAAC91" w14:textId="77777777" w:rsidR="0065140C" w:rsidRDefault="006514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C276AA" w14:textId="77777777" w:rsidR="008A195E" w:rsidRDefault="008A19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0409000F"/>
    <w:lvl w:ilvl="0">
      <w:start w:val="1"/>
      <w:numFmt w:val="decimal"/>
      <w:lvlText w:val="%1."/>
      <w:lvlJc w:val="left"/>
      <w:pPr>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A545A64"/>
    <w:multiLevelType w:val="hybridMultilevel"/>
    <w:tmpl w:val="F75AF6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ABE3C5C"/>
    <w:multiLevelType w:val="hybridMultilevel"/>
    <w:tmpl w:val="D1B239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B6B31D9"/>
    <w:multiLevelType w:val="hybridMultilevel"/>
    <w:tmpl w:val="3272AF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04579E"/>
    <w:multiLevelType w:val="hybridMultilevel"/>
    <w:tmpl w:val="F5926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F71C5E"/>
    <w:multiLevelType w:val="hybridMultilevel"/>
    <w:tmpl w:val="34062A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93D6E25"/>
    <w:multiLevelType w:val="hybridMultilevel"/>
    <w:tmpl w:val="2438E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AB23AA"/>
    <w:multiLevelType w:val="hybridMultilevel"/>
    <w:tmpl w:val="9140C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0E3221"/>
    <w:multiLevelType w:val="hybridMultilevel"/>
    <w:tmpl w:val="B16292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0DA0A58"/>
    <w:multiLevelType w:val="hybridMultilevel"/>
    <w:tmpl w:val="059A63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E353A1"/>
    <w:multiLevelType w:val="hybridMultilevel"/>
    <w:tmpl w:val="33DCD4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9E0FDA"/>
    <w:multiLevelType w:val="hybridMultilevel"/>
    <w:tmpl w:val="7206DA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CB4F65"/>
    <w:multiLevelType w:val="hybridMultilevel"/>
    <w:tmpl w:val="3EBE8EC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5957E2"/>
    <w:multiLevelType w:val="hybridMultilevel"/>
    <w:tmpl w:val="81FE4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837263"/>
    <w:multiLevelType w:val="hybridMultilevel"/>
    <w:tmpl w:val="30E87F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712164"/>
    <w:multiLevelType w:val="hybridMultilevel"/>
    <w:tmpl w:val="6376FF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EF5851"/>
    <w:multiLevelType w:val="hybridMultilevel"/>
    <w:tmpl w:val="425047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99A6E39"/>
    <w:multiLevelType w:val="hybridMultilevel"/>
    <w:tmpl w:val="18BA13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581383"/>
    <w:multiLevelType w:val="hybridMultilevel"/>
    <w:tmpl w:val="3A203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num>
  <w:num w:numId="22">
    <w:abstractNumId w:val="22"/>
  </w:num>
  <w:num w:numId="23">
    <w:abstractNumId w:val="11"/>
  </w:num>
  <w:num w:numId="24">
    <w:abstractNumId w:val="7"/>
    <w:lvlOverride w:ilvl="0">
      <w:startOverride w:val="2"/>
    </w:lvlOverride>
  </w:num>
  <w:num w:numId="25">
    <w:abstractNumId w:val="7"/>
  </w:num>
  <w:num w:numId="26">
    <w:abstractNumId w:val="15"/>
  </w:num>
  <w:num w:numId="27">
    <w:abstractNumId w:val="13"/>
  </w:num>
  <w:num w:numId="28">
    <w:abstractNumId w:val="25"/>
  </w:num>
  <w:num w:numId="29">
    <w:abstractNumId w:val="26"/>
  </w:num>
  <w:num w:numId="30">
    <w:abstractNumId w:val="18"/>
  </w:num>
  <w:num w:numId="31">
    <w:abstractNumId w:val="10"/>
  </w:num>
  <w:num w:numId="32">
    <w:abstractNumId w:val="9"/>
  </w:num>
  <w:num w:numId="33">
    <w:abstractNumId w:val="24"/>
  </w:num>
  <w:num w:numId="34">
    <w:abstractNumId w:val="21"/>
  </w:num>
  <w:num w:numId="35">
    <w:abstractNumId w:val="17"/>
  </w:num>
  <w:num w:numId="36">
    <w:abstractNumId w:val="19"/>
  </w:num>
  <w:num w:numId="37">
    <w:abstractNumId w:val="20"/>
  </w:num>
  <w:num w:numId="38">
    <w:abstractNumId w:val="16"/>
  </w:num>
  <w:num w:numId="39">
    <w:abstractNumId w:val="14"/>
  </w:num>
  <w:num w:numId="40">
    <w:abstractNumId w:val="23"/>
  </w:num>
  <w:num w:numId="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83365"/>
    <w:rsid w:val="0029639D"/>
    <w:rsid w:val="00326F90"/>
    <w:rsid w:val="00497432"/>
    <w:rsid w:val="004E54DD"/>
    <w:rsid w:val="0065140C"/>
    <w:rsid w:val="00725110"/>
    <w:rsid w:val="008A195E"/>
    <w:rsid w:val="008B2B51"/>
    <w:rsid w:val="008D5806"/>
    <w:rsid w:val="008E0065"/>
    <w:rsid w:val="00AA1D8D"/>
    <w:rsid w:val="00AB2EA4"/>
    <w:rsid w:val="00B47730"/>
    <w:rsid w:val="00BC5C04"/>
    <w:rsid w:val="00C6156F"/>
    <w:rsid w:val="00CB0664"/>
    <w:rsid w:val="00DE6157"/>
    <w:rsid w:val="00E41297"/>
    <w:rsid w:val="00F25EDB"/>
    <w:rsid w:val="00F705C0"/>
    <w:rsid w:val="00FC693F"/>
    <w:rsid w:val="00FE0C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F4141B"/>
  <w14:defaultImageDpi w14:val="300"/>
  <w15:docId w15:val="{82C7484C-B62A-3943-9A9B-1D8790D8E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00"/>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C6156F"/>
    <w:rPr>
      <w:color w:val="0000FF" w:themeColor="hyperlink"/>
      <w:u w:val="single"/>
    </w:rPr>
  </w:style>
  <w:style w:type="character" w:customStyle="1" w:styleId="UnresolvedMention">
    <w:name w:val="Unresolved Mention"/>
    <w:basedOn w:val="DefaultParagraphFont"/>
    <w:uiPriority w:val="99"/>
    <w:semiHidden/>
    <w:unhideWhenUsed/>
    <w:rsid w:val="00C6156F"/>
    <w:rPr>
      <w:color w:val="605E5C"/>
      <w:shd w:val="clear" w:color="auto" w:fill="E1DFDD"/>
    </w:rPr>
  </w:style>
  <w:style w:type="character" w:styleId="PageNumber">
    <w:name w:val="page number"/>
    <w:basedOn w:val="DefaultParagraphFont"/>
    <w:uiPriority w:val="99"/>
    <w:semiHidden/>
    <w:unhideWhenUsed/>
    <w:rsid w:val="00183365"/>
  </w:style>
  <w:style w:type="character" w:styleId="FollowedHyperlink">
    <w:name w:val="FollowedHyperlink"/>
    <w:basedOn w:val="DefaultParagraphFont"/>
    <w:uiPriority w:val="99"/>
    <w:semiHidden/>
    <w:unhideWhenUsed/>
    <w:rsid w:val="008D580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14683857.2024.2429862" TargetMode="External"/><Relationship Id="rId13" Type="http://schemas.openxmlformats.org/officeDocument/2006/relationships/hyperlink" Target="https://doi.org/10.18449/2024RP15"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8449/2024RP03"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14683857.2025.249437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doi.org/10.18449/2023C33" TargetMode="External"/><Relationship Id="rId4" Type="http://schemas.openxmlformats.org/officeDocument/2006/relationships/settings" Target="settings.xml"/><Relationship Id="rId9" Type="http://schemas.openxmlformats.org/officeDocument/2006/relationships/hyperlink" Target="https://doi.org/10.1177/0022009419833443" TargetMode="External"/><Relationship Id="rId14" Type="http://schemas.openxmlformats.org/officeDocument/2006/relationships/hyperlink" Target="https://doi.org/10.1093/ia/iiab0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9C9434-170C-4E88-A77C-D5DF4808B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1525</Words>
  <Characters>8695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10200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MIR</cp:lastModifiedBy>
  <cp:revision>2</cp:revision>
  <dcterms:created xsi:type="dcterms:W3CDTF">2026-09-16T06:46:00Z</dcterms:created>
  <dcterms:modified xsi:type="dcterms:W3CDTF">2026-09-16T06:46:00Z</dcterms:modified>
  <cp:category/>
</cp:coreProperties>
</file>